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81F" w:rsidRDefault="0003281F" w:rsidP="0003281F">
      <w:pPr>
        <w:jc w:val="center"/>
        <w:rPr>
          <w:b/>
          <w:bCs/>
          <w:smallCaps/>
          <w:sz w:val="36"/>
          <w:szCs w:val="36"/>
        </w:rPr>
      </w:pPr>
      <w:r>
        <w:rPr>
          <w:b/>
          <w:bCs/>
          <w:smallCaps/>
          <w:sz w:val="36"/>
          <w:szCs w:val="36"/>
        </w:rPr>
        <w:t>National Quality Forum</w:t>
      </w:r>
    </w:p>
    <w:p w:rsidR="0003281F" w:rsidRDefault="0003281F" w:rsidP="0003281F">
      <w:pPr>
        <w:rPr>
          <w:b/>
          <w:bCs/>
        </w:rPr>
      </w:pPr>
    </w:p>
    <w:p w:rsidR="0003281F" w:rsidRPr="00CC649A" w:rsidRDefault="0003281F" w:rsidP="0003281F">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rsidR="0003281F" w:rsidRDefault="0003281F" w:rsidP="0003281F">
      <w:pPr>
        <w:rPr>
          <w:rFonts w:ascii="Trebuchet MS" w:hAnsi="Trebuchet MS"/>
          <w:b/>
          <w:bCs/>
          <w:sz w:val="20"/>
          <w:szCs w:val="20"/>
          <w:highlight w:val="yellow"/>
        </w:rPr>
      </w:pPr>
    </w:p>
    <w:p w:rsidR="0003281F" w:rsidRPr="00CD35D2" w:rsidRDefault="0003281F" w:rsidP="0003281F">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656"/>
      </w:tblGrid>
      <w:tr w:rsidR="0003281F" w:rsidRPr="00CD35D2" w:rsidTr="0003281F">
        <w:tc>
          <w:tcPr>
            <w:tcW w:w="5000" w:type="pct"/>
            <w:tcBorders>
              <w:bottom w:val="single" w:sz="6" w:space="0" w:color="000000"/>
            </w:tcBorders>
            <w:shd w:val="clear" w:color="auto" w:fill="E6E6E6"/>
          </w:tcPr>
          <w:p w:rsidR="0003281F" w:rsidRPr="00CD35D2" w:rsidRDefault="0003281F" w:rsidP="0003281F">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0041</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Population Health: Prevention Project</w:t>
            </w:r>
          </w:p>
        </w:tc>
      </w:tr>
    </w:tbl>
    <w:p w:rsidR="0003281F" w:rsidRPr="00CD35D2" w:rsidRDefault="0003281F" w:rsidP="0003281F">
      <w:pPr>
        <w:rPr>
          <w:rFonts w:ascii="Arial Narrow" w:hAnsi="Arial Narrow" w:cs="Arial"/>
        </w:rPr>
      </w:pPr>
    </w:p>
    <w:p w:rsidR="0003281F" w:rsidRPr="00CD35D2" w:rsidRDefault="0003281F" w:rsidP="0003281F">
      <w:pPr>
        <w:rPr>
          <w:rFonts w:ascii="Arial Narrow" w:hAnsi="Arial Narrow" w:cs="Arial"/>
        </w:rPr>
      </w:pPr>
      <w:r w:rsidRPr="00CD35D2">
        <w:rPr>
          <w:rFonts w:ascii="Arial Narrow" w:hAnsi="Arial Narrow" w:cs="Aria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72" w:type="dxa"/>
          <w:bottom w:w="58" w:type="dxa"/>
          <w:right w:w="72" w:type="dxa"/>
        </w:tblCellMar>
        <w:tblLook w:val="01E0" w:firstRow="1" w:lastRow="1" w:firstColumn="1" w:lastColumn="1" w:noHBand="0" w:noVBand="0"/>
      </w:tblPr>
      <w:tblGrid>
        <w:gridCol w:w="10656"/>
      </w:tblGrid>
      <w:tr w:rsidR="0003281F" w:rsidRPr="00CD35D2" w:rsidTr="0003281F">
        <w:tc>
          <w:tcPr>
            <w:tcW w:w="5000" w:type="pct"/>
            <w:tcBorders>
              <w:bottom w:val="single" w:sz="4" w:space="0" w:color="auto"/>
            </w:tcBorders>
            <w:shd w:val="clear" w:color="auto" w:fill="333399"/>
          </w:tcPr>
          <w:p w:rsidR="0003281F" w:rsidRPr="00CD35D2" w:rsidRDefault="0003281F" w:rsidP="0003281F">
            <w:pPr>
              <w:jc w:val="center"/>
              <w:rPr>
                <w:rFonts w:ascii="Arial Narrow" w:hAnsi="Arial Narrow" w:cs="Arial"/>
                <w:b/>
              </w:rPr>
            </w:pPr>
            <w:bookmarkStart w:id="1" w:name="_Toc207162395"/>
            <w:r w:rsidRPr="00CD35D2">
              <w:rPr>
                <w:rFonts w:ascii="Arial Narrow" w:hAnsi="Arial Narrow" w:cs="Arial"/>
                <w:b/>
                <w:caps/>
                <w:color w:val="FFFFFF"/>
              </w:rPr>
              <w:t>1. IMPACT, OPPORTUITY, EVIDENCE - Importance TO MEASURE AND REPORT</w:t>
            </w:r>
            <w:bookmarkEnd w:id="1"/>
          </w:p>
        </w:tc>
      </w:tr>
      <w:tr w:rsidR="0003281F" w:rsidRPr="00CD35D2" w:rsidTr="0003281F">
        <w:tc>
          <w:tcPr>
            <w:tcW w:w="5000" w:type="pct"/>
            <w:tcBorders>
              <w:bottom w:val="single" w:sz="4" w:space="0" w:color="auto"/>
            </w:tcBorders>
          </w:tcPr>
          <w:p w:rsidR="0003281F" w:rsidRPr="00CD35D2" w:rsidRDefault="0003281F" w:rsidP="0003281F">
            <w:pPr>
              <w:rPr>
                <w:rFonts w:ascii="Arial Narrow" w:hAnsi="Arial Narrow" w:cs="Arial"/>
              </w:rPr>
            </w:pPr>
            <w:r w:rsidRPr="00CD35D2">
              <w:rPr>
                <w:rFonts w:ascii="Arial Narrow" w:hAnsi="Arial Narrow" w:cs="Arial"/>
              </w:rPr>
              <w:t xml:space="preserve">Importance to Measure and Report is a threshold criterion that must be met in order to recommend a measure for endorsement. All three subcriteria must be met to pass this criterion. </w:t>
            </w:r>
            <w:r w:rsidRPr="007C6F0E">
              <w:rPr>
                <w:rFonts w:ascii="Arial Narrow" w:hAnsi="Arial Narrow" w:cs="Arial"/>
              </w:rPr>
              <w:t xml:space="preserve">See </w:t>
            </w:r>
            <w:hyperlink r:id="rId9" w:history="1">
              <w:r w:rsidRPr="007C6F0E">
                <w:rPr>
                  <w:rStyle w:val="Hyperlink"/>
                  <w:rFonts w:ascii="Arial Narrow" w:hAnsi="Arial Narrow" w:cs="Arial"/>
                </w:rPr>
                <w:t>guidance on evidence.</w:t>
              </w:r>
            </w:hyperlink>
          </w:p>
          <w:p w:rsidR="0003281F" w:rsidRPr="00CD35D2" w:rsidRDefault="0003281F" w:rsidP="0003281F">
            <w:pPr>
              <w:rPr>
                <w:rFonts w:ascii="Arial Narrow" w:hAnsi="Arial Narrow" w:cs="Arial"/>
              </w:rPr>
            </w:pPr>
            <w:r w:rsidRPr="00CD35D2">
              <w:rPr>
                <w:rFonts w:ascii="Arial Narrow" w:hAnsi="Arial Narrow" w:cs="Arial"/>
                <w:b/>
                <w:i/>
                <w:color w:val="FF0000"/>
              </w:rPr>
              <w:t>Measures must be judged to be important to measure and report</w:t>
            </w:r>
            <w:r w:rsidRPr="00CD35D2">
              <w:rPr>
                <w:rFonts w:ascii="Arial Narrow" w:hAnsi="Arial Narrow" w:cs="Arial"/>
                <w:bCs/>
                <w:i/>
                <w:color w:val="FF0000"/>
              </w:rPr>
              <w:t xml:space="preserve"> </w:t>
            </w:r>
            <w:r w:rsidRPr="00E77016">
              <w:rPr>
                <w:rFonts w:ascii="Arial Narrow" w:hAnsi="Arial Narrow" w:cs="Arial"/>
                <w:b/>
                <w:bCs/>
                <w:i/>
                <w:color w:val="FF0000"/>
              </w:rPr>
              <w:t>in order to be evaluated against the remaining criteria.</w:t>
            </w:r>
            <w:r w:rsidRPr="00E77016">
              <w:rPr>
                <w:rFonts w:ascii="Arial Narrow" w:hAnsi="Arial Narrow" w:cs="Arial"/>
                <w:b/>
                <w:bCs/>
                <w:color w:val="FF0000"/>
              </w:rPr>
              <w:t xml:space="preserve"> </w:t>
            </w:r>
            <w:r w:rsidRPr="00CD35D2">
              <w:rPr>
                <w:rFonts w:ascii="Arial Narrow" w:hAnsi="Arial Narrow" w:cs="Arial"/>
                <w:b/>
                <w:bCs/>
                <w:color w:val="3333FF"/>
              </w:rPr>
              <w:t>(</w:t>
            </w:r>
            <w:hyperlink r:id="rId10" w:history="1">
              <w:r w:rsidRPr="00CD35D2">
                <w:rPr>
                  <w:rStyle w:val="Hyperlink"/>
                  <w:rFonts w:ascii="Arial Narrow" w:hAnsi="Arial Narrow" w:cs="Arial"/>
                  <w:b/>
                  <w:color w:val="3333FF"/>
                </w:rPr>
                <w:t>evaluation criteria</w:t>
              </w:r>
            </w:hyperlink>
            <w:r w:rsidRPr="00CD35D2">
              <w:rPr>
                <w:rFonts w:ascii="Arial Narrow" w:hAnsi="Arial Narrow" w:cs="Arial"/>
                <w:b/>
                <w:color w:val="3333FF"/>
              </w:rPr>
              <w:t>)</w:t>
            </w:r>
          </w:p>
        </w:tc>
      </w:tr>
      <w:tr w:rsidR="0003281F" w:rsidRPr="00CD35D2" w:rsidTr="0003281F">
        <w:tc>
          <w:tcPr>
            <w:tcW w:w="5000" w:type="pct"/>
          </w:tcPr>
          <w:p w:rsidR="0003281F" w:rsidRDefault="0003281F" w:rsidP="0003281F">
            <w:pPr>
              <w:rPr>
                <w:rFonts w:ascii="Arial Narrow" w:hAnsi="Arial Narrow" w:cs="Arial"/>
                <w:b/>
              </w:rPr>
            </w:pPr>
            <w:r w:rsidRPr="00CD35D2">
              <w:rPr>
                <w:rFonts w:ascii="Arial Narrow" w:hAnsi="Arial Narrow" w:cs="Arial"/>
                <w:b/>
                <w:color w:val="555555"/>
              </w:rPr>
              <w:t>1c.1</w:t>
            </w:r>
            <w:r w:rsidRPr="00CD35D2">
              <w:rPr>
                <w:rFonts w:ascii="Arial Narrow" w:hAnsi="Arial Narrow" w:cs="Arial"/>
                <w:b/>
              </w:rPr>
              <w:t xml:space="preserve"> Structure-Process-Outcome Relationship </w:t>
            </w:r>
            <w:r w:rsidRPr="00CD35D2">
              <w:rPr>
                <w:rFonts w:ascii="Arial Narrow" w:hAnsi="Arial Narrow" w:cs="Arial"/>
                <w:i/>
              </w:rPr>
              <w:t>(Briefly state the measure focus, e.g., health outcome, intermediate clinical outcome, process, structure; then identify the appropriate links, e.g., structure-process-health outcome; process- health outcome; intermediate clinical outcome-health outcome)</w:t>
            </w:r>
            <w:r w:rsidRPr="00CD35D2">
              <w:rPr>
                <w:rFonts w:ascii="Arial Narrow" w:hAnsi="Arial Narrow" w:cs="Arial"/>
                <w:b/>
              </w:rPr>
              <w:t xml:space="preserve">: </w:t>
            </w:r>
          </w:p>
          <w:p w:rsidR="0003281F" w:rsidRPr="00CD35D2" w:rsidRDefault="0003281F" w:rsidP="0003281F">
            <w:pPr>
              <w:rPr>
                <w:rFonts w:ascii="Arial Narrow" w:hAnsi="Arial Narrow" w:cs="Arial"/>
                <w:b/>
              </w:rPr>
            </w:pPr>
            <w:r w:rsidRPr="00CD35D2">
              <w:rPr>
                <w:rFonts w:ascii="Arial Narrow" w:hAnsi="Arial Narrow" w:cs="Arial"/>
                <w:color w:val="0000FF"/>
              </w:rPr>
              <w:t xml:space="preserve">Annual influenza vaccination is the most effective method for preventing influenza virus infection and its complications.  Influenza viruses cause disease among persons in all age groups. Rates of infection are highest among children, but the risks for complications, hospitalizations, and deaths from seasonal influenza are higher among adults aged &gt;=65 years, children aged &lt;5 years, and persons of any age who have medical conditions that place them at increased risk for complications from influenza.  </w:t>
            </w:r>
          </w:p>
          <w:p w:rsidR="0003281F" w:rsidRPr="00CD35D2" w:rsidRDefault="0003281F" w:rsidP="0003281F">
            <w:pPr>
              <w:rPr>
                <w:rFonts w:ascii="Arial Narrow" w:hAnsi="Arial Narrow" w:cs="Arial"/>
                <w:color w:val="0000FF"/>
              </w:rPr>
            </w:pPr>
          </w:p>
          <w:p w:rsidR="0003281F" w:rsidRDefault="0003281F" w:rsidP="0003281F">
            <w:pPr>
              <w:rPr>
                <w:rFonts w:ascii="Arial Narrow" w:hAnsi="Arial Narrow" w:cs="Arial"/>
                <w:color w:val="0000FF"/>
              </w:rPr>
            </w:pPr>
            <w:r w:rsidRPr="00CD35D2">
              <w:rPr>
                <w:rFonts w:ascii="Arial Narrow" w:hAnsi="Arial Narrow" w:cs="Arial"/>
                <w:color w:val="0000FF"/>
              </w:rPr>
              <w:t>Centers for Disease Control and Prevention.  Prevention and control of influenza with vaccines:  recommendations of the Advisory Committee on Immunization Practices (ACIP), 2010.  MMWR 2010;59(No. RR-8):1-62.</w:t>
            </w:r>
          </w:p>
          <w:p w:rsidR="006C2395" w:rsidRPr="00CD35D2" w:rsidRDefault="00C91232" w:rsidP="0003281F">
            <w:pPr>
              <w:rPr>
                <w:rFonts w:ascii="Arial Narrow" w:hAnsi="Arial Narrow" w:cs="Arial"/>
                <w:color w:val="0000FF"/>
              </w:rPr>
            </w:pPr>
            <w:r>
              <w:rPr>
                <w:rFonts w:ascii="Arial Narrow" w:hAnsi="Arial Narrow" w:cs="Arial"/>
                <w:color w:val="0000FF"/>
              </w:rPr>
              <w:t xml:space="preserve">     </w:t>
            </w:r>
          </w:p>
          <w:p w:rsidR="0003281F" w:rsidRPr="00CD35D2" w:rsidRDefault="0003281F" w:rsidP="0003281F">
            <w:pPr>
              <w:rPr>
                <w:rFonts w:ascii="Arial Narrow" w:hAnsi="Arial Narrow" w:cs="Arial"/>
                <w:b/>
                <w:color w:val="555555"/>
              </w:rPr>
            </w:pPr>
          </w:p>
          <w:p w:rsidR="0003281F" w:rsidRDefault="0003281F" w:rsidP="0003281F">
            <w:pPr>
              <w:rPr>
                <w:rFonts w:ascii="Arial Narrow" w:hAnsi="Arial Narrow" w:cs="Arial"/>
                <w:b/>
              </w:rPr>
            </w:pPr>
            <w:r w:rsidRPr="00CD35D2">
              <w:rPr>
                <w:rFonts w:ascii="Arial Narrow" w:hAnsi="Arial Narrow" w:cs="Arial"/>
                <w:b/>
                <w:color w:val="555555"/>
              </w:rPr>
              <w:t>1c.2-3</w:t>
            </w:r>
            <w:r>
              <w:rPr>
                <w:rFonts w:ascii="Arial Narrow" w:hAnsi="Arial Narrow" w:cs="Arial"/>
                <w:b/>
                <w:color w:val="555555"/>
              </w:rPr>
              <w:t xml:space="preserve"> </w:t>
            </w:r>
            <w:r w:rsidRPr="00CD35D2">
              <w:rPr>
                <w:rFonts w:ascii="Arial Narrow" w:hAnsi="Arial Narrow" w:cs="Arial"/>
                <w:b/>
              </w:rPr>
              <w:t xml:space="preserve">Type of Evidence </w:t>
            </w:r>
            <w:r w:rsidRPr="00CD35D2">
              <w:rPr>
                <w:rFonts w:ascii="Arial Narrow" w:hAnsi="Arial Narrow" w:cs="Arial"/>
                <w:i/>
              </w:rPr>
              <w:t>(Check all that apply)</w:t>
            </w:r>
            <w:r w:rsidRPr="00CD35D2">
              <w:rPr>
                <w:rFonts w:ascii="Arial Narrow" w:hAnsi="Arial Narrow" w:cs="Arial"/>
                <w:b/>
              </w:rPr>
              <w:t xml:space="preserve">:  </w:t>
            </w:r>
          </w:p>
          <w:p w:rsidR="00731FD2" w:rsidRDefault="00731FD2" w:rsidP="0003281F">
            <w:pPr>
              <w:rPr>
                <w:rFonts w:ascii="Arial Narrow" w:hAnsi="Arial Narrow" w:cs="Arial"/>
                <w:b/>
              </w:rPr>
            </w:pPr>
          </w:p>
          <w:p w:rsidR="0003281F" w:rsidRPr="00CD35D2" w:rsidRDefault="0003281F" w:rsidP="0003281F">
            <w:pPr>
              <w:rPr>
                <w:rFonts w:ascii="Arial Narrow" w:hAnsi="Arial Narrow" w:cs="Arial"/>
                <w:b/>
                <w:bCs/>
              </w:rPr>
            </w:pPr>
          </w:p>
          <w:p w:rsidR="0003281F" w:rsidRDefault="0003281F" w:rsidP="0003281F">
            <w:pPr>
              <w:rPr>
                <w:rFonts w:ascii="Arial Narrow" w:hAnsi="Arial Narrow" w:cs="Arial"/>
                <w:i/>
              </w:rPr>
            </w:pPr>
            <w:r w:rsidRPr="00CD35D2">
              <w:rPr>
                <w:rFonts w:ascii="Arial Narrow" w:hAnsi="Arial Narrow" w:cs="Arial"/>
                <w:b/>
                <w:color w:val="555555"/>
              </w:rPr>
              <w:t>1c.4</w:t>
            </w:r>
            <w:r w:rsidRPr="00CD35D2">
              <w:rPr>
                <w:rFonts w:ascii="Arial Narrow" w:hAnsi="Arial Narrow" w:cs="Arial"/>
                <w:b/>
                <w:bCs/>
              </w:rPr>
              <w:t xml:space="preserve"> Directness of </w:t>
            </w:r>
            <w:r>
              <w:rPr>
                <w:rFonts w:ascii="Arial Narrow" w:hAnsi="Arial Narrow" w:cs="Arial"/>
                <w:b/>
                <w:bCs/>
              </w:rPr>
              <w:t>E</w:t>
            </w:r>
            <w:r w:rsidRPr="00CD35D2">
              <w:rPr>
                <w:rFonts w:ascii="Arial Narrow" w:hAnsi="Arial Narrow" w:cs="Arial"/>
                <w:b/>
                <w:bCs/>
              </w:rPr>
              <w:t xml:space="preserve">vidence to the </w:t>
            </w:r>
            <w:r>
              <w:rPr>
                <w:rFonts w:ascii="Arial Narrow" w:hAnsi="Arial Narrow" w:cs="Arial"/>
                <w:b/>
                <w:bCs/>
              </w:rPr>
              <w:t>S</w:t>
            </w:r>
            <w:r w:rsidRPr="00CD35D2">
              <w:rPr>
                <w:rFonts w:ascii="Arial Narrow" w:hAnsi="Arial Narrow" w:cs="Arial"/>
                <w:b/>
                <w:bCs/>
              </w:rPr>
              <w:t xml:space="preserve">pecified </w:t>
            </w:r>
            <w:r>
              <w:rPr>
                <w:rFonts w:ascii="Arial Narrow" w:hAnsi="Arial Narrow" w:cs="Arial"/>
                <w:b/>
                <w:bCs/>
              </w:rPr>
              <w:t>M</w:t>
            </w:r>
            <w:r w:rsidRPr="00CD35D2">
              <w:rPr>
                <w:rFonts w:ascii="Arial Narrow" w:hAnsi="Arial Narrow" w:cs="Arial"/>
                <w:b/>
                <w:bCs/>
              </w:rPr>
              <w:t xml:space="preserve">easure </w:t>
            </w:r>
            <w:r w:rsidRPr="00CD35D2">
              <w:rPr>
                <w:rFonts w:ascii="Arial Narrow" w:hAnsi="Arial Narrow" w:cs="Arial"/>
                <w:i/>
              </w:rPr>
              <w:t>(State the central topic, population, and outcomes addressed in the body of evidence and identify any differences from the measure focus and measure target population)</w:t>
            </w:r>
            <w:r w:rsidRPr="00B96AC5">
              <w:rPr>
                <w:rFonts w:ascii="Arial Narrow" w:hAnsi="Arial Narrow" w:cs="Arial"/>
                <w:b/>
              </w:rPr>
              <w:t>:</w:t>
            </w:r>
            <w:r w:rsidRPr="00CD35D2">
              <w:rPr>
                <w:rFonts w:ascii="Arial Narrow" w:hAnsi="Arial Narrow" w:cs="Arial"/>
                <w:i/>
              </w:rPr>
              <w:t xml:space="preserve"> </w:t>
            </w:r>
            <w:r>
              <w:rPr>
                <w:rFonts w:ascii="Arial Narrow" w:hAnsi="Arial Narrow" w:cs="Arial"/>
                <w:i/>
              </w:rPr>
              <w:t xml:space="preserve"> </w:t>
            </w:r>
          </w:p>
          <w:p w:rsidR="006C2395" w:rsidRDefault="006C2395" w:rsidP="0003281F">
            <w:pPr>
              <w:rPr>
                <w:rFonts w:ascii="Arial Narrow" w:hAnsi="Arial Narrow" w:cs="Arial"/>
                <w:i/>
              </w:rPr>
            </w:pPr>
          </w:p>
          <w:p w:rsidR="006C2395" w:rsidRDefault="006C2395" w:rsidP="0003281F">
            <w:pPr>
              <w:rPr>
                <w:rFonts w:ascii="Arial Narrow" w:hAnsi="Arial Narrow" w:cs="Arial"/>
                <w:color w:val="FF0000"/>
              </w:rPr>
            </w:pPr>
            <w:r>
              <w:rPr>
                <w:rFonts w:ascii="Arial Narrow" w:hAnsi="Arial Narrow" w:cs="Arial"/>
                <w:color w:val="FF0000"/>
              </w:rPr>
              <w:t xml:space="preserve">The Advisory Committee on Immunization Practices </w:t>
            </w:r>
            <w:r w:rsidR="00C36D30">
              <w:rPr>
                <w:rFonts w:ascii="Arial Narrow" w:hAnsi="Arial Narrow" w:cs="Arial"/>
                <w:color w:val="FF0000"/>
              </w:rPr>
              <w:t xml:space="preserve">(ACIP) </w:t>
            </w:r>
            <w:r>
              <w:rPr>
                <w:rFonts w:ascii="Arial Narrow" w:hAnsi="Arial Narrow" w:cs="Arial"/>
                <w:color w:val="FF0000"/>
              </w:rPr>
              <w:t>revised its influenza recommendations in 2010 to include</w:t>
            </w:r>
            <w:r w:rsidRPr="006C2395">
              <w:rPr>
                <w:rFonts w:ascii="Arial Narrow" w:hAnsi="Arial Narrow" w:cs="Arial"/>
                <w:color w:val="FF0000"/>
              </w:rPr>
              <w:t xml:space="preserve"> a recommendation that annual vaccination be administered to all persons aged ≥6 months</w:t>
            </w:r>
            <w:r w:rsidR="00C36D30">
              <w:rPr>
                <w:rFonts w:ascii="Arial Narrow" w:hAnsi="Arial Narrow" w:cs="Arial"/>
                <w:color w:val="FF0000"/>
              </w:rPr>
              <w:t xml:space="preserve">. </w:t>
            </w:r>
            <w:r w:rsidR="00C91232">
              <w:rPr>
                <w:rFonts w:ascii="Arial Narrow" w:hAnsi="Arial Narrow" w:cs="Arial"/>
                <w:color w:val="FF0000"/>
              </w:rPr>
              <w:t>This recommendation</w:t>
            </w:r>
            <w:r w:rsidR="00C36D30">
              <w:rPr>
                <w:rFonts w:ascii="Arial Narrow" w:hAnsi="Arial Narrow" w:cs="Arial"/>
                <w:color w:val="FF0000"/>
              </w:rPr>
              <w:t xml:space="preserve"> is current </w:t>
            </w:r>
            <w:r w:rsidR="00C91232">
              <w:rPr>
                <w:rFonts w:ascii="Arial Narrow" w:hAnsi="Arial Narrow" w:cs="Arial"/>
                <w:color w:val="FF0000"/>
              </w:rPr>
              <w:t xml:space="preserve">and has not changed </w:t>
            </w:r>
            <w:bookmarkStart w:id="2" w:name="_GoBack"/>
            <w:bookmarkEnd w:id="2"/>
            <w:r w:rsidR="00C36D30">
              <w:rPr>
                <w:rFonts w:ascii="Arial Narrow" w:hAnsi="Arial Narrow" w:cs="Arial"/>
                <w:color w:val="FF0000"/>
              </w:rPr>
              <w:t>as of 2016</w:t>
            </w:r>
            <w:r w:rsidR="00C91232">
              <w:rPr>
                <w:rFonts w:ascii="Arial Narrow" w:hAnsi="Arial Narrow" w:cs="Arial"/>
                <w:color w:val="FF0000"/>
              </w:rPr>
              <w:t>.</w:t>
            </w:r>
          </w:p>
          <w:p w:rsidR="00C36D30" w:rsidRPr="006C2395" w:rsidRDefault="00C36D30" w:rsidP="0003281F">
            <w:pPr>
              <w:rPr>
                <w:rFonts w:ascii="Arial Narrow" w:hAnsi="Arial Narrow" w:cs="Arial"/>
                <w:color w:val="FF0000"/>
              </w:rPr>
            </w:pPr>
          </w:p>
          <w:p w:rsidR="0003281F" w:rsidRPr="00CD35D2" w:rsidRDefault="0003281F" w:rsidP="0003281F">
            <w:pPr>
              <w:rPr>
                <w:rFonts w:ascii="Arial Narrow" w:hAnsi="Arial Narrow" w:cs="Arial"/>
                <w:color w:val="0000FF"/>
              </w:rPr>
            </w:pPr>
            <w:r>
              <w:rPr>
                <w:rFonts w:ascii="Arial Narrow" w:hAnsi="Arial Narrow" w:cs="Arial"/>
                <w:color w:val="0000FF"/>
              </w:rPr>
              <w:t xml:space="preserve">There is increased evidence that influenza has substantial adverse impacts in all age groups and an expectation that a simplified age-based influenza vaccine recommendation for all age groups will improve vaccine coverage levels.  Published, peer-reviewed studies are the primary source of data used by </w:t>
            </w:r>
            <w:r w:rsidR="00DA0BA9">
              <w:rPr>
                <w:rFonts w:ascii="Arial Narrow" w:hAnsi="Arial Narrow" w:cs="Arial"/>
                <w:color w:val="0000FF"/>
              </w:rPr>
              <w:t xml:space="preserve">the </w:t>
            </w:r>
            <w:r>
              <w:rPr>
                <w:rFonts w:ascii="Arial Narrow" w:hAnsi="Arial Narrow" w:cs="Arial"/>
                <w:color w:val="0000FF"/>
              </w:rPr>
              <w:t>ACIP in making recommendations for the prevention and control of influenza, but unpublished data that are relevant to issues under discussion also are considered. Among studies discussed or cited, those of greatest scientific quality and those that measure influenza-specific ou</w:t>
            </w:r>
            <w:r w:rsidR="00C36D30">
              <w:rPr>
                <w:rFonts w:ascii="Arial Narrow" w:hAnsi="Arial Narrow" w:cs="Arial"/>
                <w:color w:val="0000FF"/>
              </w:rPr>
              <w:t>tcomes are the most influential (CDC, 2010).</w:t>
            </w:r>
          </w:p>
          <w:p w:rsidR="0003281F" w:rsidRDefault="0003281F" w:rsidP="0003281F">
            <w:pPr>
              <w:rPr>
                <w:rFonts w:ascii="Arial Narrow" w:hAnsi="Arial Narrow" w:cs="Arial"/>
                <w:color w:val="0000FF"/>
              </w:rPr>
            </w:pPr>
          </w:p>
          <w:p w:rsidR="0003281F" w:rsidRDefault="0003281F" w:rsidP="0003281F">
            <w:pPr>
              <w:rPr>
                <w:rFonts w:ascii="Arial Narrow" w:hAnsi="Arial Narrow" w:cs="Arial"/>
                <w:color w:val="0000FF"/>
              </w:rPr>
            </w:pPr>
            <w:r>
              <w:rPr>
                <w:rFonts w:ascii="Arial Narrow" w:hAnsi="Arial Narrow" w:cs="Arial"/>
                <w:color w:val="0000FF"/>
              </w:rPr>
              <w:t>Centers for Disease Control and Prevention.  Prevention and control of influenza with vaccines:  recommendations of the Advisory Committee on Immunization Practices (ACIP), 2010.  MMWR 2010;59(No. RR-8):1-62.</w:t>
            </w:r>
          </w:p>
          <w:p w:rsidR="0003281F" w:rsidRPr="00CD35D2" w:rsidRDefault="0003281F" w:rsidP="0003281F">
            <w:pPr>
              <w:rPr>
                <w:rFonts w:ascii="Arial Narrow" w:hAnsi="Arial Narrow" w:cs="Arial"/>
                <w:i/>
              </w:rPr>
            </w:pPr>
          </w:p>
          <w:p w:rsidR="002B377B" w:rsidRDefault="0003281F" w:rsidP="0003281F">
            <w:pPr>
              <w:rPr>
                <w:rFonts w:ascii="Arial Narrow" w:hAnsi="Arial Narrow" w:cs="Arial"/>
                <w:color w:val="0000FF"/>
              </w:rPr>
            </w:pPr>
            <w:r w:rsidRPr="00CD35D2">
              <w:rPr>
                <w:rFonts w:ascii="Arial Narrow" w:hAnsi="Arial Narrow" w:cs="Arial"/>
                <w:b/>
                <w:color w:val="555555"/>
              </w:rPr>
              <w:t xml:space="preserve">1c.5 </w:t>
            </w:r>
            <w:r w:rsidRPr="00CD35D2">
              <w:rPr>
                <w:rFonts w:ascii="Arial Narrow" w:hAnsi="Arial Narrow" w:cs="Arial"/>
                <w:b/>
                <w:bCs/>
              </w:rPr>
              <w:t xml:space="preserve">Quantity of Studies in the </w:t>
            </w:r>
            <w:r w:rsidRPr="00F640FF">
              <w:rPr>
                <w:rFonts w:ascii="Arial Narrow" w:hAnsi="Arial Narrow" w:cs="Arial"/>
                <w:b/>
                <w:bCs/>
                <w:u w:val="single"/>
              </w:rPr>
              <w:t>Body of Evidence</w:t>
            </w:r>
            <w:r w:rsidRPr="00CD35D2">
              <w:rPr>
                <w:rFonts w:ascii="Arial Narrow" w:hAnsi="Arial Narrow" w:cs="Arial"/>
                <w:b/>
                <w:color w:val="555555"/>
              </w:rPr>
              <w:t xml:space="preserve"> </w:t>
            </w:r>
            <w:r w:rsidRPr="00CD35D2">
              <w:rPr>
                <w:rFonts w:ascii="Arial Narrow" w:hAnsi="Arial Narrow" w:cs="Arial"/>
                <w:i/>
              </w:rPr>
              <w:t>(Total number of studies, not article</w:t>
            </w:r>
            <w:r w:rsidRPr="00B96AC5">
              <w:rPr>
                <w:rFonts w:ascii="Arial Narrow" w:hAnsi="Arial Narrow" w:cs="Arial"/>
                <w:i/>
              </w:rPr>
              <w:t>s</w:t>
            </w:r>
            <w:r w:rsidRPr="00B96AC5">
              <w:rPr>
                <w:rFonts w:ascii="Arial Narrow" w:hAnsi="Arial Narrow" w:cs="Arial"/>
              </w:rPr>
              <w:t>)</w:t>
            </w:r>
            <w:r w:rsidRPr="00B96AC5">
              <w:rPr>
                <w:rFonts w:ascii="Arial Narrow" w:hAnsi="Arial Narrow" w:cs="Arial"/>
                <w:b/>
              </w:rPr>
              <w:t>:</w:t>
            </w:r>
            <w:r>
              <w:rPr>
                <w:rFonts w:ascii="Arial Narrow" w:hAnsi="Arial Narrow" w:cs="Arial"/>
                <w:color w:val="0000FF"/>
              </w:rPr>
              <w:t xml:space="preserve">  </w:t>
            </w:r>
          </w:p>
          <w:p w:rsidR="0003281F" w:rsidRPr="00763E75" w:rsidRDefault="0003281F" w:rsidP="0003281F">
            <w:pPr>
              <w:rPr>
                <w:rFonts w:ascii="Arial Narrow" w:hAnsi="Arial Narrow" w:cs="Arial"/>
                <w:i/>
              </w:rPr>
            </w:pPr>
            <w:r>
              <w:rPr>
                <w:rFonts w:ascii="Arial Narrow" w:hAnsi="Arial Narrow" w:cs="Arial"/>
                <w:color w:val="0000FF"/>
              </w:rPr>
              <w:t>The description of the evidence review within the guideline, did not address the overall quantity of studies in the body of evidence.  However, close to 500 studies are cited in the reference section.</w:t>
            </w:r>
          </w:p>
          <w:p w:rsidR="0003281F" w:rsidRPr="00CD35D2" w:rsidRDefault="0003281F" w:rsidP="0003281F">
            <w:pPr>
              <w:rPr>
                <w:rFonts w:ascii="Arial Narrow" w:hAnsi="Arial Narrow" w:cs="Arial"/>
                <w:i/>
              </w:rPr>
            </w:pPr>
          </w:p>
          <w:p w:rsidR="002B377B" w:rsidRDefault="0003281F" w:rsidP="0003281F">
            <w:pPr>
              <w:rPr>
                <w:rFonts w:ascii="Arial Narrow" w:hAnsi="Arial Narrow" w:cs="Arial"/>
                <w:color w:val="0000FF"/>
              </w:rPr>
            </w:pPr>
            <w:r w:rsidRPr="00CD35D2">
              <w:rPr>
                <w:rFonts w:ascii="Arial Narrow" w:hAnsi="Arial Narrow" w:cs="Arial"/>
                <w:b/>
                <w:color w:val="555555"/>
              </w:rPr>
              <w:t xml:space="preserve">1c.6 </w:t>
            </w:r>
            <w:r w:rsidRPr="00CD35D2">
              <w:rPr>
                <w:rFonts w:ascii="Arial Narrow" w:hAnsi="Arial Narrow" w:cs="Arial"/>
                <w:b/>
                <w:bCs/>
              </w:rPr>
              <w:t xml:space="preserve">Quality of </w:t>
            </w:r>
            <w:r w:rsidRPr="00F640FF">
              <w:rPr>
                <w:rFonts w:ascii="Arial Narrow" w:hAnsi="Arial Narrow" w:cs="Arial"/>
                <w:b/>
                <w:bCs/>
                <w:u w:val="single"/>
              </w:rPr>
              <w:t>Body of Evidence</w:t>
            </w:r>
            <w:r w:rsidRPr="00CD35D2">
              <w:rPr>
                <w:rFonts w:ascii="Arial Narrow" w:hAnsi="Arial Narrow" w:cs="Arial"/>
                <w:b/>
                <w:color w:val="555555"/>
              </w:rPr>
              <w:t xml:space="preserve"> (</w:t>
            </w:r>
            <w:r w:rsidRPr="00CD35D2">
              <w:rPr>
                <w:rFonts w:ascii="Arial Narrow" w:hAnsi="Arial Narrow" w:cs="Arial"/>
                <w:i/>
              </w:rPr>
              <w:t>Summarize the certainty or confidence in the estimates of benefits and harms to patients across studies in the body of evidence resulting from study factors. Please address: a) study design/flaws; b) directness/indirectness of the evidence to this measure (e.g., interventions, comparisons, outcomes assessed, population included in the evidence); and c) imprecision/wide confidence intervals due to few patients or events</w:t>
            </w:r>
            <w:r w:rsidRPr="00CD782B">
              <w:rPr>
                <w:rFonts w:ascii="Arial Narrow" w:hAnsi="Arial Narrow" w:cs="Arial"/>
                <w:i/>
              </w:rPr>
              <w:t>)</w:t>
            </w:r>
            <w:r>
              <w:rPr>
                <w:rFonts w:ascii="Arial Narrow" w:hAnsi="Arial Narrow" w:cs="Arial"/>
                <w:i/>
              </w:rPr>
              <w:t>:</w:t>
            </w:r>
            <w:r>
              <w:rPr>
                <w:rFonts w:ascii="Arial Narrow" w:hAnsi="Arial Narrow" w:cs="Arial"/>
                <w:color w:val="0000FF"/>
              </w:rPr>
              <w:t xml:space="preserve"> </w:t>
            </w:r>
            <w:r w:rsidRPr="008513BD">
              <w:rPr>
                <w:rFonts w:ascii="Arial Narrow" w:hAnsi="Arial Narrow" w:cs="Arial"/>
                <w:color w:val="0000FF"/>
              </w:rPr>
              <w:t xml:space="preserve"> </w:t>
            </w:r>
          </w:p>
          <w:p w:rsidR="0003281F" w:rsidRPr="00192CCE" w:rsidRDefault="0003281F" w:rsidP="0003281F">
            <w:pPr>
              <w:rPr>
                <w:rFonts w:ascii="Arial Narrow" w:hAnsi="Arial Narrow" w:cs="Arial"/>
                <w:color w:val="0000FF"/>
              </w:rPr>
            </w:pPr>
            <w:r w:rsidRPr="008513BD">
              <w:rPr>
                <w:rFonts w:ascii="Arial Narrow" w:hAnsi="Arial Narrow" w:cs="Arial"/>
                <w:color w:val="0000FF"/>
              </w:rPr>
              <w:t xml:space="preserve">The description of the evidence review within the </w:t>
            </w:r>
            <w:r w:rsidR="00110ED6" w:rsidRPr="008513BD">
              <w:rPr>
                <w:rFonts w:ascii="Arial Narrow" w:hAnsi="Arial Narrow" w:cs="Arial"/>
                <w:color w:val="0000FF"/>
              </w:rPr>
              <w:t>guideline</w:t>
            </w:r>
            <w:r w:rsidRPr="008513BD">
              <w:rPr>
                <w:rFonts w:ascii="Arial Narrow" w:hAnsi="Arial Narrow" w:cs="Arial"/>
                <w:color w:val="0000FF"/>
              </w:rPr>
              <w:t xml:space="preserve"> did not address the overall quality of the body of evidence related to this measure nor was any grade provided for the quality of the body of evidence.  Therefore, the following text has been included to describe the study design/flaws, directness of the evidence to the measure, and any imprecision within the studies as described by the guideline developers.  </w:t>
            </w:r>
          </w:p>
          <w:p w:rsidR="0003281F" w:rsidRPr="008513BD" w:rsidRDefault="0003281F" w:rsidP="0003281F">
            <w:pPr>
              <w:rPr>
                <w:rFonts w:ascii="Arial Narrow" w:hAnsi="Arial Narrow" w:cs="Arial"/>
                <w:color w:val="0000FF"/>
              </w:rPr>
            </w:pPr>
          </w:p>
          <w:p w:rsidR="0003281F" w:rsidRPr="008513BD" w:rsidRDefault="0003281F" w:rsidP="0003281F">
            <w:pPr>
              <w:rPr>
                <w:rFonts w:ascii="Arial Narrow" w:hAnsi="Arial Narrow" w:cs="Arial"/>
                <w:color w:val="0000FF"/>
              </w:rPr>
            </w:pPr>
            <w:r w:rsidRPr="008513BD">
              <w:rPr>
                <w:rFonts w:ascii="Arial Narrow" w:hAnsi="Arial Narrow" w:cs="Arial"/>
                <w:color w:val="0000FF"/>
              </w:rPr>
              <w:t xml:space="preserve">Published, peer-reviewed studies are the primary source of data used by ACIP in making recommendations for the prevention and control of influenza, but unpublished data that are relevant to issues under discussion also are considered. Among studies discussed or cited, those of greatest scientific quality and those that measure influenza-specific outcomes are the most influential. For example, population-based estimates of influenza disease burden supported by laboratory-confirmed influenza virus infection outcomes contribute the most specific data. The best evidence for vaccine or antiviral efficacy comes from randomized controlled trials that assess laboratory-confirmed influenza infections as an outcome measure and consider factors such as timing and intensity of influenza viruses’ circulation and degree of match between vaccine strains and wild circulating strains. However, randomized controlled trials cannot be performed ethically in populations for which vaccination already is recommended, and in this context, observational studies that assess outcomes associated with laboratory-confirmed influenza infection also can provide important vaccine or antiviral safety and effectiveness data. </w:t>
            </w:r>
          </w:p>
          <w:p w:rsidR="0003281F" w:rsidRPr="008513BD" w:rsidRDefault="0003281F" w:rsidP="0003281F">
            <w:pPr>
              <w:rPr>
                <w:rFonts w:ascii="Arial Narrow" w:hAnsi="Arial Narrow" w:cs="Arial"/>
                <w:color w:val="0000FF"/>
              </w:rPr>
            </w:pPr>
          </w:p>
          <w:p w:rsidR="0003281F" w:rsidRPr="008513BD" w:rsidRDefault="0003281F" w:rsidP="0003281F">
            <w:pPr>
              <w:rPr>
                <w:rFonts w:ascii="Arial Narrow" w:hAnsi="Arial Narrow" w:cs="Arial"/>
                <w:color w:val="0000FF"/>
              </w:rPr>
            </w:pPr>
            <w:r w:rsidRPr="008513BD">
              <w:rPr>
                <w:rFonts w:ascii="Arial Narrow" w:hAnsi="Arial Narrow" w:cs="Arial"/>
                <w:color w:val="0000FF"/>
              </w:rPr>
              <w:t>Centers for Disease Control and Prevention.  Prevention and control of influenza with vaccines:  recommendations of the Advisory Committee on Immunization Practices (ACIP), 2010.  MMWR 2010;59(No. RR-8):1-62.</w:t>
            </w:r>
          </w:p>
          <w:p w:rsidR="0003281F" w:rsidRPr="00CD35D2" w:rsidRDefault="0003281F" w:rsidP="0003281F">
            <w:pPr>
              <w:rPr>
                <w:rFonts w:ascii="Arial Narrow" w:hAnsi="Arial Narrow" w:cs="Arial"/>
                <w:i/>
              </w:rPr>
            </w:pPr>
          </w:p>
          <w:p w:rsidR="002B377B" w:rsidRDefault="0003281F" w:rsidP="0003281F">
            <w:pPr>
              <w:rPr>
                <w:rFonts w:ascii="Arial Narrow" w:hAnsi="Arial Narrow" w:cs="Arial"/>
                <w:i/>
              </w:rPr>
            </w:pPr>
            <w:r w:rsidRPr="00CD35D2">
              <w:rPr>
                <w:rFonts w:ascii="Arial Narrow" w:hAnsi="Arial Narrow" w:cs="Arial"/>
                <w:b/>
                <w:color w:val="555555"/>
              </w:rPr>
              <w:t xml:space="preserve">1c.7 </w:t>
            </w:r>
            <w:r w:rsidRPr="00CD35D2">
              <w:rPr>
                <w:rFonts w:ascii="Arial Narrow" w:hAnsi="Arial Narrow" w:cs="Arial"/>
                <w:b/>
              </w:rPr>
              <w:t xml:space="preserve">Consistency of Results </w:t>
            </w:r>
            <w:r w:rsidRPr="00DB0BED">
              <w:rPr>
                <w:rFonts w:ascii="Arial Narrow" w:hAnsi="Arial Narrow" w:cs="Arial"/>
                <w:b/>
                <w:u w:val="single"/>
              </w:rPr>
              <w:t>across Studies</w:t>
            </w:r>
            <w:r w:rsidRPr="00CD35D2">
              <w:rPr>
                <w:rFonts w:ascii="Arial Narrow" w:hAnsi="Arial Narrow" w:cs="Arial"/>
                <w:b/>
              </w:rPr>
              <w:t xml:space="preserve"> </w:t>
            </w:r>
            <w:r w:rsidRPr="00CD35D2">
              <w:rPr>
                <w:rFonts w:ascii="Arial Narrow" w:hAnsi="Arial Narrow" w:cs="Arial"/>
                <w:i/>
              </w:rPr>
              <w:t xml:space="preserve">(Summarize the consistency of the magnitude and direction of the effect): </w:t>
            </w:r>
          </w:p>
          <w:p w:rsidR="0003281F" w:rsidRPr="00CD35D2" w:rsidRDefault="0003281F" w:rsidP="0003281F">
            <w:pPr>
              <w:rPr>
                <w:rFonts w:ascii="Arial Narrow" w:hAnsi="Arial Narrow" w:cs="Arial"/>
                <w:i/>
              </w:rPr>
            </w:pPr>
            <w:r w:rsidRPr="009D570D">
              <w:rPr>
                <w:rFonts w:ascii="Arial Narrow" w:hAnsi="Arial Narrow" w:cs="Arial"/>
                <w:color w:val="0000FF"/>
              </w:rPr>
              <w:t>Although there is no explicit statement regarding the overall consistency of results across studies in the guideline, the recent ACIP influenza immunization recommendations represent an expansion of the previous rec</w:t>
            </w:r>
            <w:r w:rsidR="00DA0BA9">
              <w:rPr>
                <w:rFonts w:ascii="Arial Narrow" w:hAnsi="Arial Narrow" w:cs="Arial"/>
                <w:color w:val="0000FF"/>
              </w:rPr>
              <w:t>ommendations for annual vaccina</w:t>
            </w:r>
            <w:r w:rsidRPr="009D570D">
              <w:rPr>
                <w:rFonts w:ascii="Arial Narrow" w:hAnsi="Arial Narrow" w:cs="Arial"/>
                <w:color w:val="0000FF"/>
              </w:rPr>
              <w:t>tion of all adults aged 19—49 years and "is supported by evidence that annual influenza vaccination is a safe and effective preventive health action with potential benefit in all age groups.”</w:t>
            </w:r>
          </w:p>
          <w:p w:rsidR="0003281F" w:rsidRPr="009D570D" w:rsidRDefault="0003281F" w:rsidP="0003281F">
            <w:pPr>
              <w:rPr>
                <w:rFonts w:ascii="Arial Narrow" w:hAnsi="Arial Narrow" w:cs="Arial"/>
                <w:color w:val="0000FF"/>
              </w:rPr>
            </w:pPr>
          </w:p>
          <w:p w:rsidR="0003281F" w:rsidRPr="009D570D" w:rsidRDefault="0003281F" w:rsidP="0003281F">
            <w:pPr>
              <w:rPr>
                <w:rFonts w:ascii="Arial Narrow" w:hAnsi="Arial Narrow" w:cs="Arial"/>
                <w:color w:val="0000FF"/>
              </w:rPr>
            </w:pPr>
            <w:r w:rsidRPr="009D570D">
              <w:rPr>
                <w:rFonts w:ascii="Arial Narrow" w:hAnsi="Arial Narrow" w:cs="Arial"/>
                <w:color w:val="0000FF"/>
              </w:rPr>
              <w:t>Centers for Disease Control and Prevention.  Prevention and control of influenza with vaccines:  recommendations of the Advisory Committee on Immunization Practices (ACIP), 2010.  MMWR 2010;59(No. RR-8):1-62.</w:t>
            </w:r>
          </w:p>
          <w:p w:rsidR="0003281F" w:rsidRPr="00CD35D2" w:rsidRDefault="0003281F" w:rsidP="0003281F">
            <w:pPr>
              <w:rPr>
                <w:rFonts w:ascii="Arial Narrow" w:hAnsi="Arial Narrow" w:cs="Arial"/>
              </w:rPr>
            </w:pPr>
          </w:p>
          <w:p w:rsidR="0003281F" w:rsidRDefault="0003281F" w:rsidP="0003281F">
            <w:pPr>
              <w:rPr>
                <w:rFonts w:ascii="Arial Narrow" w:hAnsi="Arial Narrow" w:cs="Arial"/>
                <w:bCs/>
                <w:color w:val="0000FF"/>
              </w:rPr>
            </w:pPr>
            <w:r w:rsidRPr="00CD35D2">
              <w:rPr>
                <w:rFonts w:ascii="Arial Narrow" w:hAnsi="Arial Narrow" w:cs="Arial"/>
                <w:b/>
                <w:color w:val="555555"/>
              </w:rPr>
              <w:t xml:space="preserve">1c.8 </w:t>
            </w:r>
            <w:r w:rsidRPr="00CD35D2">
              <w:rPr>
                <w:rFonts w:ascii="Arial Narrow" w:hAnsi="Arial Narrow" w:cs="Arial"/>
                <w:b/>
              </w:rPr>
              <w:t xml:space="preserve">Net Benefit </w:t>
            </w:r>
            <w:r w:rsidRPr="00CD35D2">
              <w:rPr>
                <w:rFonts w:ascii="Arial Narrow" w:hAnsi="Arial Narrow" w:cs="Arial"/>
                <w:bCs/>
                <w:i/>
              </w:rPr>
              <w:t>(Provide estimates of effect for benefit/outcome; identify harms addressed and estimates of effect; and net benefit - benefit over harms)</w:t>
            </w:r>
            <w:r w:rsidRPr="00CD35D2">
              <w:rPr>
                <w:rFonts w:ascii="Arial Narrow" w:hAnsi="Arial Narrow" w:cs="Arial"/>
                <w:b/>
                <w:bCs/>
              </w:rPr>
              <w:t>:</w:t>
            </w:r>
            <w:r w:rsidRPr="00CD35D2">
              <w:rPr>
                <w:rFonts w:ascii="Arial Narrow" w:hAnsi="Arial Narrow" w:cs="Arial"/>
                <w:bCs/>
                <w:color w:val="0000FF"/>
              </w:rPr>
              <w:t xml:space="preserve"> </w:t>
            </w:r>
            <w:r>
              <w:rPr>
                <w:rFonts w:ascii="Arial Narrow" w:hAnsi="Arial Narrow" w:cs="Arial"/>
                <w:bCs/>
                <w:color w:val="0000FF"/>
              </w:rPr>
              <w:t xml:space="preserve"> </w:t>
            </w:r>
          </w:p>
          <w:p w:rsidR="0003281F" w:rsidRPr="00CD35D2" w:rsidRDefault="0003281F" w:rsidP="0003281F">
            <w:pPr>
              <w:rPr>
                <w:rFonts w:ascii="Arial Narrow" w:hAnsi="Arial Narrow" w:cs="Arial"/>
                <w:bCs/>
                <w:color w:val="0000FF"/>
              </w:rPr>
            </w:pPr>
            <w:r>
              <w:rPr>
                <w:rFonts w:ascii="Arial Narrow" w:hAnsi="Arial Narrow" w:cs="Arial"/>
                <w:bCs/>
                <w:color w:val="0000FF"/>
              </w:rPr>
              <w:t xml:space="preserve">Annual influenza vaccination is a safe and effective preventive health action with potential benefit in all age groups. </w:t>
            </w:r>
          </w:p>
          <w:p w:rsidR="0003281F" w:rsidRDefault="0003281F" w:rsidP="0003281F">
            <w:pPr>
              <w:rPr>
                <w:rFonts w:ascii="Arial Narrow" w:hAnsi="Arial Narrow" w:cs="Arial"/>
                <w:bCs/>
                <w:color w:val="0000FF"/>
              </w:rPr>
            </w:pPr>
          </w:p>
          <w:p w:rsidR="0003281F" w:rsidRDefault="0003281F" w:rsidP="0003281F">
            <w:pPr>
              <w:rPr>
                <w:rFonts w:ascii="Arial Narrow" w:hAnsi="Arial Narrow" w:cs="Arial"/>
                <w:bCs/>
                <w:color w:val="0000FF"/>
              </w:rPr>
            </w:pPr>
            <w:r>
              <w:rPr>
                <w:rFonts w:ascii="Arial Narrow" w:hAnsi="Arial Narrow" w:cs="Arial"/>
                <w:bCs/>
                <w:color w:val="0000FF"/>
              </w:rPr>
              <w:t>...[E]vidence from clinical trials suggests that protection against viruses that are similar antigenically to those contained in the vaccine extends for at least 6–8 months.</w:t>
            </w:r>
          </w:p>
          <w:p w:rsidR="0003281F" w:rsidRDefault="0003281F" w:rsidP="0003281F">
            <w:pPr>
              <w:rPr>
                <w:rFonts w:ascii="Arial Narrow" w:hAnsi="Arial Narrow" w:cs="Arial"/>
                <w:bCs/>
                <w:color w:val="0000FF"/>
              </w:rPr>
            </w:pPr>
          </w:p>
          <w:p w:rsidR="0003281F" w:rsidRDefault="0003281F" w:rsidP="0003281F">
            <w:pPr>
              <w:rPr>
                <w:rFonts w:ascii="Arial Narrow" w:hAnsi="Arial Narrow" w:cs="Arial"/>
                <w:bCs/>
                <w:color w:val="0000FF"/>
              </w:rPr>
            </w:pPr>
            <w:r>
              <w:rPr>
                <w:rFonts w:ascii="Arial Narrow" w:hAnsi="Arial Narrow" w:cs="Arial"/>
                <w:bCs/>
                <w:color w:val="0000FF"/>
              </w:rPr>
              <w:t>Influenza viruses cause disease among persons in all age groups. Rates of infection are highest among children, but the risks for complications, hospitalizations, and deaths from seasonal influenza are higher among adults aged &gt;=65 years, children aged &lt;5 years, and persons of any age who have medical conditions that place them at increased risk for complications from influenza.</w:t>
            </w:r>
          </w:p>
          <w:p w:rsidR="0003281F" w:rsidRDefault="0003281F" w:rsidP="0003281F">
            <w:pPr>
              <w:rPr>
                <w:rFonts w:ascii="Arial Narrow" w:hAnsi="Arial Narrow" w:cs="Arial"/>
                <w:bCs/>
                <w:color w:val="0000FF"/>
              </w:rPr>
            </w:pPr>
          </w:p>
          <w:p w:rsidR="0003281F" w:rsidRDefault="0003281F" w:rsidP="0003281F">
            <w:pPr>
              <w:rPr>
                <w:rFonts w:ascii="Arial Narrow" w:hAnsi="Arial Narrow" w:cs="Arial"/>
                <w:bCs/>
                <w:color w:val="0000FF"/>
              </w:rPr>
            </w:pPr>
            <w:r>
              <w:rPr>
                <w:rFonts w:ascii="Arial Narrow" w:hAnsi="Arial Narrow" w:cs="Arial"/>
                <w:bCs/>
                <w:color w:val="0000FF"/>
              </w:rPr>
              <w:t>Centers for Disease Control and Prevention.  Prevention and control of influenza with vaccines:  recommendations of the Advisory Committee on Immunization Practices (ACIP), 2010.  MMWR 2010;59(No. RR-8):1-62.</w:t>
            </w:r>
          </w:p>
          <w:p w:rsidR="0003281F" w:rsidRPr="00CD35D2" w:rsidRDefault="0003281F" w:rsidP="0003281F">
            <w:pPr>
              <w:rPr>
                <w:rFonts w:ascii="Arial Narrow" w:hAnsi="Arial Narrow" w:cs="Arial"/>
                <w:color w:val="0000FF"/>
              </w:rPr>
            </w:pPr>
          </w:p>
          <w:p w:rsidR="0003281F" w:rsidRPr="00CD35D2" w:rsidRDefault="0003281F" w:rsidP="0003281F">
            <w:pPr>
              <w:rPr>
                <w:rFonts w:ascii="Arial Narrow" w:hAnsi="Arial Narrow" w:cs="Arial"/>
                <w:b/>
              </w:rPr>
            </w:pPr>
            <w:r w:rsidRPr="00CD35D2">
              <w:rPr>
                <w:rFonts w:ascii="Arial Narrow" w:hAnsi="Arial Narrow" w:cs="Arial"/>
                <w:b/>
                <w:color w:val="555555"/>
              </w:rPr>
              <w:t xml:space="preserve">1c.9 </w:t>
            </w:r>
            <w:r w:rsidRPr="00CD35D2">
              <w:rPr>
                <w:rFonts w:ascii="Arial Narrow" w:hAnsi="Arial Narrow" w:cs="Arial"/>
                <w:b/>
              </w:rPr>
              <w:t xml:space="preserve">Grading of </w:t>
            </w:r>
            <w:r>
              <w:rPr>
                <w:rFonts w:ascii="Arial Narrow" w:hAnsi="Arial Narrow" w:cs="Arial"/>
                <w:b/>
              </w:rPr>
              <w:t>S</w:t>
            </w:r>
            <w:r w:rsidRPr="00CD35D2">
              <w:rPr>
                <w:rFonts w:ascii="Arial Narrow" w:hAnsi="Arial Narrow" w:cs="Arial"/>
                <w:b/>
              </w:rPr>
              <w:t>trength/</w:t>
            </w:r>
            <w:r>
              <w:rPr>
                <w:rFonts w:ascii="Arial Narrow" w:hAnsi="Arial Narrow" w:cs="Arial"/>
                <w:b/>
              </w:rPr>
              <w:t>Q</w:t>
            </w:r>
            <w:r w:rsidRPr="00CD35D2">
              <w:rPr>
                <w:rFonts w:ascii="Arial Narrow" w:hAnsi="Arial Narrow" w:cs="Arial"/>
                <w:b/>
              </w:rPr>
              <w:t xml:space="preserve">uality of the </w:t>
            </w:r>
            <w:r>
              <w:rPr>
                <w:rFonts w:ascii="Arial Narrow" w:hAnsi="Arial Narrow" w:cs="Arial"/>
                <w:b/>
              </w:rPr>
              <w:t>B</w:t>
            </w:r>
            <w:r w:rsidRPr="00CD35D2">
              <w:rPr>
                <w:rFonts w:ascii="Arial Narrow" w:hAnsi="Arial Narrow" w:cs="Arial"/>
                <w:b/>
              </w:rPr>
              <w:t xml:space="preserve">ody of </w:t>
            </w:r>
            <w:r>
              <w:rPr>
                <w:rFonts w:ascii="Arial Narrow" w:hAnsi="Arial Narrow" w:cs="Arial"/>
                <w:b/>
              </w:rPr>
              <w:t>E</w:t>
            </w:r>
            <w:r w:rsidRPr="00CD35D2">
              <w:rPr>
                <w:rFonts w:ascii="Arial Narrow" w:hAnsi="Arial Narrow" w:cs="Arial"/>
                <w:b/>
              </w:rPr>
              <w:t>vidence</w:t>
            </w:r>
            <w:r w:rsidRPr="00CD35D2">
              <w:rPr>
                <w:rFonts w:ascii="Arial Narrow" w:hAnsi="Arial Narrow" w:cs="Arial"/>
                <w:b/>
                <w:color w:val="555555"/>
              </w:rPr>
              <w:t xml:space="preserve">. </w:t>
            </w:r>
            <w:r w:rsidRPr="00F3136B">
              <w:rPr>
                <w:rFonts w:ascii="Arial Narrow" w:hAnsi="Arial Narrow" w:cs="Arial"/>
              </w:rPr>
              <w:t>Has the body of evidence been graded?</w:t>
            </w:r>
            <w:r>
              <w:rPr>
                <w:rFonts w:ascii="Arial Narrow" w:hAnsi="Arial Narrow" w:cs="Arial"/>
                <w:b/>
              </w:rPr>
              <w:t xml:space="preserve">  </w:t>
            </w:r>
            <w:r w:rsidRPr="00D15620">
              <w:rPr>
                <w:rFonts w:ascii="Arial Narrow" w:hAnsi="Arial Narrow" w:cs="Arial"/>
                <w:color w:val="0000FF"/>
              </w:rPr>
              <w:t>No</w:t>
            </w:r>
          </w:p>
          <w:p w:rsidR="0003281F" w:rsidRPr="00CD35D2" w:rsidRDefault="0003281F" w:rsidP="0003281F">
            <w:pPr>
              <w:rPr>
                <w:rFonts w:ascii="Arial Narrow" w:hAnsi="Arial Narrow" w:cs="Arial"/>
                <w:b/>
              </w:rPr>
            </w:pPr>
          </w:p>
          <w:p w:rsidR="002B377B" w:rsidRDefault="0003281F" w:rsidP="0003281F">
            <w:pPr>
              <w:rPr>
                <w:rFonts w:ascii="Arial Narrow" w:hAnsi="Arial Narrow" w:cs="Arial"/>
                <w:b/>
              </w:rPr>
            </w:pPr>
            <w:r w:rsidRPr="00CD35D2">
              <w:rPr>
                <w:rFonts w:ascii="Arial Narrow" w:hAnsi="Arial Narrow" w:cs="Arial"/>
                <w:b/>
                <w:color w:val="555555"/>
              </w:rPr>
              <w:t xml:space="preserve">1c.10 </w:t>
            </w:r>
            <w:r w:rsidRPr="00CD35D2">
              <w:rPr>
                <w:rFonts w:ascii="Arial Narrow" w:hAnsi="Arial Narrow" w:cs="Arial"/>
                <w:b/>
              </w:rPr>
              <w:t>If body of evidence graded, identify the entity that graded the evidence including balance of representation and any disclosures regarding bias:</w:t>
            </w:r>
            <w:r>
              <w:rPr>
                <w:rFonts w:ascii="Arial Narrow" w:hAnsi="Arial Narrow" w:cs="Arial"/>
                <w:b/>
              </w:rPr>
              <w:t xml:space="preserve">  </w:t>
            </w:r>
          </w:p>
          <w:p w:rsidR="0003281F" w:rsidRPr="002B377B" w:rsidRDefault="0003281F" w:rsidP="0003281F">
            <w:pPr>
              <w:rPr>
                <w:rFonts w:ascii="Arial Narrow" w:hAnsi="Arial Narrow" w:cs="Arial"/>
                <w:b/>
              </w:rPr>
            </w:pPr>
            <w:r w:rsidRPr="002B377B">
              <w:rPr>
                <w:rFonts w:ascii="Arial Narrow" w:hAnsi="Arial Narrow" w:cs="Arial"/>
                <w:color w:val="0000FF"/>
              </w:rPr>
              <w:t>Although the body of evidence was not graded, the guidelines were developed by CDC’s Advisory Committee on Immunization Practices (ACIP) who provides annual recommendations for the prevention and control of influenza. The ACIP Influenza Work Group (the Work Group)* meets every 2–4 weeks throughout the year to discuss newly published studies, review current guidelines, and consider revisions to the recommendations. As the Work Group reviews the annual recommendations for consideration by the full ACIP, its members discuss a variety of issues, including the burden of influenza illness; vaccine effectiveness, vaccine safety, and coverage in groups recommended for vaccination; feasibility; cost-effectiveness; and anticipated vaccine supply. Work Group members also request periodic updates on vaccine and antiviral production, supply, safety, and efficacy from vaccinologists, epidemiologists, and manufacturers. State and local vaccination program representatives are consulted. CDC’s Influenza Division (available at http://www.cdc.gov/flu) provides influenza surveillance and antiviral resistance data. The Vaccines and Related Biological Products Advisory Committee provides advice on vaccine strain selection to the Food and Drug Administration (FDA), which selects the viral strains to be used in the annual trivalent influenza vaccines.</w:t>
            </w:r>
          </w:p>
          <w:p w:rsidR="0003281F" w:rsidRPr="002B377B" w:rsidRDefault="0003281F" w:rsidP="0003281F">
            <w:pPr>
              <w:rPr>
                <w:rFonts w:ascii="Arial Narrow" w:hAnsi="Arial Narrow" w:cs="Arial"/>
                <w:color w:val="0000FF"/>
              </w:rPr>
            </w:pPr>
          </w:p>
          <w:p w:rsidR="0003281F" w:rsidRPr="002B377B" w:rsidRDefault="0003281F" w:rsidP="0003281F">
            <w:pPr>
              <w:rPr>
                <w:rFonts w:ascii="Arial Narrow" w:hAnsi="Arial Narrow" w:cs="Arial"/>
                <w:color w:val="0000FF"/>
              </w:rPr>
            </w:pPr>
            <w:r w:rsidRPr="002B377B">
              <w:rPr>
                <w:rFonts w:ascii="Arial Narrow" w:hAnsi="Arial Narrow" w:cs="Arial"/>
                <w:color w:val="0000FF"/>
              </w:rPr>
              <w:t>*The Work Group composition was as follows:</w:t>
            </w:r>
          </w:p>
          <w:p w:rsidR="0003281F" w:rsidRPr="002B377B" w:rsidRDefault="0003281F" w:rsidP="0003281F">
            <w:pPr>
              <w:rPr>
                <w:rFonts w:ascii="Arial Narrow" w:hAnsi="Arial Narrow" w:cs="Arial"/>
                <w:color w:val="0000FF"/>
              </w:rPr>
            </w:pPr>
            <w:r w:rsidRPr="002B377B">
              <w:rPr>
                <w:rFonts w:ascii="Arial Narrow" w:hAnsi="Arial Narrow" w:cs="Arial"/>
                <w:color w:val="0000FF"/>
              </w:rPr>
              <w:t>Chair: Kathleen Neuzil, MD, Seattle, Washington.</w:t>
            </w:r>
          </w:p>
          <w:p w:rsidR="002B377B" w:rsidRPr="002B377B" w:rsidRDefault="0003281F" w:rsidP="002B377B">
            <w:pPr>
              <w:pStyle w:val="committee-member-title"/>
              <w:rPr>
                <w:rFonts w:ascii="Arial Narrow" w:hAnsi="Arial Narrow"/>
                <w:b/>
                <w:bCs/>
                <w:color w:val="FF0000"/>
                <w:sz w:val="22"/>
                <w:szCs w:val="22"/>
                <w:lang w:val="en"/>
              </w:rPr>
            </w:pPr>
            <w:r w:rsidRPr="002B377B">
              <w:rPr>
                <w:rFonts w:ascii="Arial Narrow" w:hAnsi="Arial Narrow" w:cs="Arial"/>
                <w:color w:val="0000FF"/>
                <w:sz w:val="22"/>
                <w:szCs w:val="22"/>
              </w:rPr>
              <w:t>Members: Terry Adirim, MD, District of Columbia; William Atkinson, MD, Atlanta, Georgia; Carol Baker, MD, Houston, Texas; Beth Bell, MD, Atlanta, Georgia, Nancy Bennett, MD, Rochester, New York; Henry Bernstein, DO, Lebanon, New Hampshire; Joseph Bresee, MD, Atlanta, Georgia; Carolyn Bridges, MD, Atlanta, Georgia; Karen Broder, MD, Atlanta, Georgia; Doug Campos-Outcalt, MD, Phoenix, Arizona; Fred Cassels, MD, Rockville, Maryland; Lance Chilton, MD, Albuquerque, New Mexico; David Cho, MD, District of Columbia; Nancy Cox, PhD, Atlanta, Georgia; Therese Cvetkovich, MD, Rockville, Maryland; Sandra Dos Santos Chaves, MD, Atlanta, Georgia; Jeff Duchin, MD, Seattle, Washington; Janet Englund, MD, Seattle, Washington; Anthony Fiore, MD, Atlanta, Georgia; Sandra Fryhofer, MD, Atlanta, Georgia; Stanley Gall, MD, Louisville, Kentucky; Paul Gargiullo, PhD, Atlanta, Georgia; Steven Gordon, MD, Cleveland, Ohio; Wayne Hachey, DO, Falls Church, Virginia; John Iskander, MD, Atlanta GA; Wendy Keitel, MD, Houston, Texas; Elyse Olshen Kharbanda, MD, New York, NY; David Lakey, MD, Austin, Texas; Susan Lett, MD, Boston, Massachusetts; Tamara Lewis, MD, Salt Lake City, Utah; Cynthia Nolletti, MD, Rockville, Maryland; Gregory Poland, MD, Rochester, Minnesota; William Schaffner, MD, Nashville, Tennessee; Robert Schechter, MD, Sacramento, California; Kenneth Schmader, MD, Durham, NC; David Shay, MD, Atlanta, Georgia; Nadine Sicard, MD, Ottawa, Canada; Danuta Skowronski, MD, Vancouver, British Columbia, Canada; Patricia Stinchfield, St. Paul, Minnesota; Ray Strikas, MD, District of Columbia; Litjen Tan, PhD, Chicago, Illinois; Mary Vernon-Smiley, MD Atlanta, Georgia; Timothy Uyeki, MD, Atlanta, Georgia; Amanda Zongrone, Atlanta, Georgia.</w:t>
            </w:r>
          </w:p>
          <w:p w:rsidR="002B377B" w:rsidRPr="002B377B" w:rsidRDefault="002B377B" w:rsidP="002B377B">
            <w:pPr>
              <w:rPr>
                <w:rFonts w:ascii="Arial Narrow" w:hAnsi="Arial Narrow" w:cs="Arial"/>
                <w:b/>
                <w:color w:val="FF0000"/>
              </w:rPr>
            </w:pPr>
            <w:r w:rsidRPr="002B377B">
              <w:rPr>
                <w:rFonts w:ascii="Arial Narrow" w:hAnsi="Arial Narrow" w:cs="Arial"/>
                <w:b/>
                <w:color w:val="FF0000"/>
              </w:rPr>
              <w:t>2015 ACIP Influenza Work Group</w:t>
            </w:r>
          </w:p>
          <w:p w:rsidR="002B377B" w:rsidRPr="002B377B" w:rsidRDefault="002B377B" w:rsidP="002B377B">
            <w:pPr>
              <w:rPr>
                <w:rFonts w:ascii="Arial Narrow" w:hAnsi="Arial Narrow" w:cs="Arial"/>
                <w:color w:val="FF0000"/>
              </w:rPr>
            </w:pPr>
            <w:r w:rsidRPr="002B377B">
              <w:rPr>
                <w:rFonts w:ascii="Arial Narrow" w:hAnsi="Arial Narrow" w:cs="Arial"/>
                <w:color w:val="FF0000"/>
              </w:rPr>
              <w:t>Ruth Karron, MD, Baltimore, Maryland (Chair); Kevin Ault, MD, Kansas City, Kansas; Edward Belongia, MD, Marshfield, Wisconsin; Henry Bernstein, DO, Hempstead, New York; Jeff Duchin, MD, Seattle, Washington; Janet Englund, MD, Seattle, Washington; Sandra Fryhofer, MD, Atlanta, Georgia; Lee H. Harrison, MD, Pittsburgh, Pennsylvania; Lisa Ipp, MD, New York, New York; Wendy Keitel, MD, Houston, Texas; Marie</w:t>
            </w:r>
            <w:r w:rsidRPr="002B377B">
              <w:rPr>
                <w:rFonts w:ascii="Cambria Math" w:hAnsi="Cambria Math" w:cs="Cambria Math"/>
                <w:color w:val="FF0000"/>
              </w:rPr>
              <w:t>‐</w:t>
            </w:r>
            <w:r w:rsidRPr="002B377B">
              <w:rPr>
                <w:rFonts w:ascii="Arial Narrow" w:hAnsi="Arial Narrow" w:cs="Arial"/>
                <w:color w:val="FF0000"/>
              </w:rPr>
              <w:t>Michèle Léger, MPH, Alexandria, Virginia; Susan Lett, MD, Jamaica Plain, Massachusetts; Jamie Loehr, MD, Ithaca, New York; Kathleen M. Neuzil, MD, Baltimore, Maryland; William Schaffner, MD, Nashville, Tennessee; Robert Schechter, MD, Richmond, California; Kenneth Schmader, MD, Durham, North Carolina; Tamara Sheffield, MD, Salt Lake City, Utah; Nadine Sicard, MD, Montreal, Quebec, Canada; Patricia Stinchfield, MS, St. Paul, Minnesota; Matthew Zahn, MD, Santa Ana, California.</w:t>
            </w:r>
          </w:p>
          <w:p w:rsidR="0003281F" w:rsidRPr="00CD35D2" w:rsidRDefault="0003281F" w:rsidP="0003281F">
            <w:pPr>
              <w:rPr>
                <w:rFonts w:ascii="Arial Narrow" w:hAnsi="Arial Narrow" w:cs="Arial"/>
                <w:b/>
              </w:rPr>
            </w:pPr>
          </w:p>
          <w:p w:rsidR="0003281F" w:rsidRPr="00CD35D2" w:rsidRDefault="0003281F" w:rsidP="0003281F">
            <w:pPr>
              <w:rPr>
                <w:rFonts w:ascii="Arial Narrow" w:hAnsi="Arial Narrow" w:cs="Arial"/>
                <w:color w:val="0000FF"/>
              </w:rPr>
            </w:pPr>
            <w:r w:rsidRPr="00CD35D2">
              <w:rPr>
                <w:rFonts w:ascii="Arial Narrow" w:hAnsi="Arial Narrow" w:cs="Arial"/>
                <w:b/>
                <w:color w:val="555555"/>
              </w:rPr>
              <w:t xml:space="preserve">1c.11 </w:t>
            </w:r>
            <w:r w:rsidRPr="00CD35D2">
              <w:rPr>
                <w:rFonts w:ascii="Arial Narrow" w:hAnsi="Arial Narrow" w:cs="Arial"/>
                <w:b/>
              </w:rPr>
              <w:t xml:space="preserve">System </w:t>
            </w:r>
            <w:r>
              <w:rPr>
                <w:rFonts w:ascii="Arial Narrow" w:hAnsi="Arial Narrow" w:cs="Arial"/>
                <w:b/>
              </w:rPr>
              <w:t>U</w:t>
            </w:r>
            <w:r w:rsidRPr="00CD35D2">
              <w:rPr>
                <w:rFonts w:ascii="Arial Narrow" w:hAnsi="Arial Narrow" w:cs="Arial"/>
                <w:b/>
              </w:rPr>
              <w:t xml:space="preserve">sed for </w:t>
            </w:r>
            <w:r>
              <w:rPr>
                <w:rFonts w:ascii="Arial Narrow" w:hAnsi="Arial Narrow" w:cs="Arial"/>
                <w:b/>
              </w:rPr>
              <w:t>G</w:t>
            </w:r>
            <w:r w:rsidRPr="00CD35D2">
              <w:rPr>
                <w:rFonts w:ascii="Arial Narrow" w:hAnsi="Arial Narrow" w:cs="Arial"/>
                <w:b/>
              </w:rPr>
              <w:t xml:space="preserve">rading the </w:t>
            </w:r>
            <w:r>
              <w:rPr>
                <w:rFonts w:ascii="Arial Narrow" w:hAnsi="Arial Narrow" w:cs="Arial"/>
                <w:b/>
              </w:rPr>
              <w:t>B</w:t>
            </w:r>
            <w:r w:rsidRPr="00CD35D2">
              <w:rPr>
                <w:rFonts w:ascii="Arial Narrow" w:hAnsi="Arial Narrow" w:cs="Arial"/>
                <w:b/>
              </w:rPr>
              <w:t xml:space="preserve">ody of </w:t>
            </w:r>
            <w:r>
              <w:rPr>
                <w:rFonts w:ascii="Arial Narrow" w:hAnsi="Arial Narrow" w:cs="Arial"/>
                <w:b/>
              </w:rPr>
              <w:t>E</w:t>
            </w:r>
            <w:r w:rsidRPr="00CD35D2">
              <w:rPr>
                <w:rFonts w:ascii="Arial Narrow" w:hAnsi="Arial Narrow" w:cs="Arial"/>
                <w:b/>
              </w:rPr>
              <w:t>vidence:</w:t>
            </w:r>
            <w:r>
              <w:rPr>
                <w:rFonts w:ascii="Arial Narrow" w:hAnsi="Arial Narrow" w:cs="Arial"/>
                <w:b/>
              </w:rPr>
              <w:t xml:space="preserve">  </w:t>
            </w:r>
            <w:r>
              <w:rPr>
                <w:rFonts w:ascii="Arial Narrow" w:hAnsi="Arial Narrow" w:cs="Arial"/>
                <w:color w:val="0000FF"/>
              </w:rPr>
              <w:t>Published, peer-reviewed studies are the primary source of data used by ACIP in making recommendations for the prevention and control of influenza, but unpublished data that are relevant to issues under discussion also are considered. Among studies discussed or cited, those of greatest scientific quality and those that measure influenza-specific outcomes are the most influential. For example, population-based estimates of influenza disease burden supported by laboratory-confirmed influenza virus infection outcomes contribute the most specific data. The best evidence for vaccine or antiviral efficacy comes from randomized controlled trials that assess laboratory-confirmed influenza infections as an outcome measure and consider factors such as timing and intensity of influenza viruses’ circulation and degree of match between vaccine strains and wild circulating strains. However, randomized controlled trials cannot be performed ethically in populations for which vaccination already is recommended, and in this context, observational studies that assess outcomes associated with laboratory-confirmed influenza infection also can provide important vaccine or antiviral safety and effectiveness data. Evidence for vaccine or antiviral safety also is provided by randomized controlled studies; however, the number of subjects in these studies often is inadequate to detect associations between vaccine and rare adverse events. The best way to assess the frequency of rare adverse events after vaccination is by controlled studies after vaccines are used widely in the population.</w:t>
            </w:r>
            <w:r w:rsidRPr="00CD35D2">
              <w:rPr>
                <w:rFonts w:ascii="Arial Narrow" w:hAnsi="Arial Narrow" w:cs="Arial"/>
                <w:color w:val="0000FF"/>
              </w:rPr>
              <w:t xml:space="preserve">  </w:t>
            </w:r>
          </w:p>
          <w:p w:rsidR="0003281F" w:rsidRPr="00CD35D2" w:rsidRDefault="0003281F" w:rsidP="0003281F">
            <w:pPr>
              <w:rPr>
                <w:rFonts w:ascii="Arial Narrow" w:hAnsi="Arial Narrow" w:cs="Arial"/>
                <w:b/>
                <w:color w:val="555555"/>
              </w:rPr>
            </w:pPr>
          </w:p>
          <w:p w:rsidR="0003281F" w:rsidRPr="00CD35D2" w:rsidRDefault="0003281F" w:rsidP="0003281F">
            <w:pPr>
              <w:rPr>
                <w:rFonts w:ascii="Arial Narrow" w:hAnsi="Arial Narrow" w:cs="Arial"/>
                <w:b/>
                <w:color w:val="555555"/>
              </w:rPr>
            </w:pPr>
            <w:r w:rsidRPr="00CD35D2">
              <w:rPr>
                <w:rFonts w:ascii="Arial Narrow" w:hAnsi="Arial Narrow" w:cs="Arial"/>
                <w:b/>
                <w:color w:val="555555"/>
              </w:rPr>
              <w:t xml:space="preserve">1c.12 </w:t>
            </w:r>
            <w:r w:rsidRPr="00CD35D2">
              <w:rPr>
                <w:rFonts w:ascii="Arial Narrow" w:hAnsi="Arial Narrow" w:cs="Arial"/>
                <w:b/>
              </w:rPr>
              <w:t>If other, identify and describe the grading scale with definitions:</w:t>
            </w:r>
            <w:r>
              <w:rPr>
                <w:rFonts w:ascii="Arial Narrow" w:hAnsi="Arial Narrow" w:cs="Arial"/>
                <w:color w:val="0000FF"/>
              </w:rPr>
              <w:t xml:space="preserve">  </w:t>
            </w:r>
          </w:p>
          <w:p w:rsidR="0003281F" w:rsidRPr="00CD35D2" w:rsidRDefault="0003281F" w:rsidP="0003281F">
            <w:pPr>
              <w:rPr>
                <w:rFonts w:ascii="Arial Narrow" w:hAnsi="Arial Narrow" w:cs="Arial"/>
                <w:b/>
                <w:color w:val="555555"/>
              </w:rPr>
            </w:pPr>
          </w:p>
          <w:p w:rsidR="0003281F" w:rsidRPr="00CD35D2" w:rsidRDefault="0003281F" w:rsidP="0003281F">
            <w:pPr>
              <w:rPr>
                <w:rFonts w:ascii="Arial Narrow" w:hAnsi="Arial Narrow" w:cs="Arial"/>
                <w:b/>
              </w:rPr>
            </w:pPr>
            <w:r w:rsidRPr="00CD35D2">
              <w:rPr>
                <w:rFonts w:ascii="Arial Narrow" w:hAnsi="Arial Narrow" w:cs="Arial"/>
                <w:b/>
                <w:color w:val="555555"/>
              </w:rPr>
              <w:t>1c.13</w:t>
            </w:r>
            <w:r w:rsidRPr="00CD35D2">
              <w:rPr>
                <w:rFonts w:ascii="Arial Narrow" w:hAnsi="Arial Narrow" w:cs="Arial"/>
                <w:b/>
              </w:rPr>
              <w:t xml:space="preserve"> Grade </w:t>
            </w:r>
            <w:r>
              <w:rPr>
                <w:rFonts w:ascii="Arial Narrow" w:hAnsi="Arial Narrow" w:cs="Arial"/>
                <w:b/>
              </w:rPr>
              <w:t>A</w:t>
            </w:r>
            <w:r w:rsidRPr="00CD35D2">
              <w:rPr>
                <w:rFonts w:ascii="Arial Narrow" w:hAnsi="Arial Narrow" w:cs="Arial"/>
                <w:b/>
              </w:rPr>
              <w:t xml:space="preserve">ssigned to the </w:t>
            </w:r>
            <w:r>
              <w:rPr>
                <w:rFonts w:ascii="Arial Narrow" w:hAnsi="Arial Narrow" w:cs="Arial"/>
                <w:b/>
              </w:rPr>
              <w:t>B</w:t>
            </w:r>
            <w:r w:rsidRPr="00CD35D2">
              <w:rPr>
                <w:rFonts w:ascii="Arial Narrow" w:hAnsi="Arial Narrow" w:cs="Arial"/>
                <w:b/>
              </w:rPr>
              <w:t xml:space="preserve">ody of </w:t>
            </w:r>
            <w:r>
              <w:rPr>
                <w:rFonts w:ascii="Arial Narrow" w:hAnsi="Arial Narrow" w:cs="Arial"/>
                <w:b/>
              </w:rPr>
              <w:t>E</w:t>
            </w:r>
            <w:r w:rsidRPr="00CD35D2">
              <w:rPr>
                <w:rFonts w:ascii="Arial Narrow" w:hAnsi="Arial Narrow" w:cs="Arial"/>
                <w:b/>
              </w:rPr>
              <w:t>vidence:</w:t>
            </w:r>
            <w:r>
              <w:rPr>
                <w:rFonts w:ascii="Arial Narrow" w:hAnsi="Arial Narrow" w:cs="Arial"/>
                <w:color w:val="0000FF"/>
              </w:rPr>
              <w:t xml:space="preserve">  </w:t>
            </w:r>
            <w:r w:rsidRPr="00703E72">
              <w:rPr>
                <w:rFonts w:ascii="Arial Narrow" w:hAnsi="Arial Narrow" w:cs="Arial"/>
                <w:color w:val="0000FF"/>
              </w:rPr>
              <w:t>Not rated</w:t>
            </w:r>
          </w:p>
          <w:p w:rsidR="0003281F" w:rsidRPr="00CD35D2" w:rsidRDefault="0003281F" w:rsidP="0003281F">
            <w:pPr>
              <w:rPr>
                <w:rFonts w:ascii="Arial Narrow" w:hAnsi="Arial Narrow" w:cs="Arial"/>
                <w:b/>
                <w:color w:val="555555"/>
              </w:rPr>
            </w:pPr>
          </w:p>
          <w:p w:rsidR="0003281F" w:rsidRPr="00CD35D2" w:rsidRDefault="0003281F" w:rsidP="0003281F">
            <w:pPr>
              <w:rPr>
                <w:rFonts w:ascii="Arial Narrow" w:hAnsi="Arial Narrow" w:cs="Arial"/>
                <w:b/>
              </w:rPr>
            </w:pPr>
            <w:r w:rsidRPr="00CD35D2">
              <w:rPr>
                <w:rFonts w:ascii="Arial Narrow" w:hAnsi="Arial Narrow" w:cs="Arial"/>
                <w:b/>
                <w:color w:val="555555"/>
              </w:rPr>
              <w:t xml:space="preserve">1c.14 </w:t>
            </w:r>
            <w:r w:rsidRPr="00CD35D2">
              <w:rPr>
                <w:rFonts w:ascii="Arial Narrow" w:hAnsi="Arial Narrow" w:cs="Arial"/>
                <w:b/>
              </w:rPr>
              <w:t>Summary of Controversy/Contradictory Evidence:</w:t>
            </w:r>
            <w:r>
              <w:rPr>
                <w:rFonts w:ascii="Arial Narrow" w:hAnsi="Arial Narrow" w:cs="Arial"/>
                <w:b/>
              </w:rPr>
              <w:t xml:space="preserve">  </w:t>
            </w:r>
          </w:p>
          <w:p w:rsidR="0003281F" w:rsidRPr="00CD35D2" w:rsidRDefault="0003281F" w:rsidP="0003281F">
            <w:pPr>
              <w:rPr>
                <w:rFonts w:ascii="Arial Narrow" w:hAnsi="Arial Narrow" w:cs="Arial"/>
                <w:b/>
              </w:rPr>
            </w:pPr>
          </w:p>
          <w:p w:rsidR="0003281F" w:rsidRDefault="0003281F" w:rsidP="0003281F">
            <w:pPr>
              <w:rPr>
                <w:rFonts w:ascii="Arial Narrow" w:hAnsi="Arial Narrow" w:cs="Arial"/>
              </w:rPr>
            </w:pPr>
            <w:r w:rsidRPr="003201FA">
              <w:rPr>
                <w:rFonts w:ascii="Arial Narrow" w:hAnsi="Arial Narrow" w:cs="Arial"/>
                <w:b/>
                <w:color w:val="555555"/>
              </w:rPr>
              <w:t xml:space="preserve">1c.15 </w:t>
            </w:r>
            <w:r w:rsidRPr="003201FA">
              <w:rPr>
                <w:rFonts w:ascii="Arial Narrow" w:hAnsi="Arial Narrow" w:cs="Arial"/>
                <w:b/>
              </w:rPr>
              <w:t>Citations for Evidence other than Guidelines</w:t>
            </w:r>
            <w:r w:rsidRPr="008C31F4">
              <w:rPr>
                <w:rFonts w:ascii="Arial Narrow" w:hAnsi="Arial Narrow" w:cs="Arial"/>
                <w:b/>
                <w:i/>
              </w:rPr>
              <w:t>(Guidelines addressed below)</w:t>
            </w:r>
            <w:r w:rsidRPr="00B96AC5">
              <w:rPr>
                <w:rFonts w:ascii="Arial Narrow" w:hAnsi="Arial Narrow" w:cs="Arial"/>
                <w:b/>
              </w:rPr>
              <w:t>:</w:t>
            </w:r>
            <w:r>
              <w:rPr>
                <w:rFonts w:ascii="Arial Narrow" w:hAnsi="Arial Narrow" w:cs="Arial"/>
                <w:b/>
                <w:i/>
              </w:rPr>
              <w:t xml:space="preserve">  </w:t>
            </w:r>
          </w:p>
          <w:p w:rsidR="0003281F" w:rsidRPr="00CD35D2" w:rsidRDefault="0003281F" w:rsidP="0003281F">
            <w:pPr>
              <w:rPr>
                <w:rFonts w:ascii="Arial Narrow" w:hAnsi="Arial Narrow" w:cs="Arial"/>
                <w:color w:val="555555"/>
              </w:rPr>
            </w:pPr>
            <w:r w:rsidRPr="008C31F4">
              <w:rPr>
                <w:rFonts w:ascii="Arial Narrow" w:hAnsi="Arial Narrow" w:cs="Arial"/>
                <w:color w:val="0000FF"/>
              </w:rPr>
              <w:t>Not applicable.</w:t>
            </w:r>
          </w:p>
        </w:tc>
      </w:tr>
      <w:tr w:rsidR="0003281F" w:rsidRPr="00CD35D2" w:rsidTr="0003281F">
        <w:tc>
          <w:tcPr>
            <w:tcW w:w="5000" w:type="pct"/>
          </w:tcPr>
          <w:p w:rsidR="0003281F" w:rsidRDefault="0003281F" w:rsidP="0003281F">
            <w:pPr>
              <w:rPr>
                <w:rFonts w:ascii="Arial Narrow" w:hAnsi="Arial Narrow" w:cs="Arial"/>
                <w:i/>
              </w:rPr>
            </w:pPr>
            <w:r w:rsidRPr="00CD35D2">
              <w:rPr>
                <w:rFonts w:ascii="Arial Narrow" w:hAnsi="Arial Narrow" w:cs="Arial"/>
                <w:b/>
                <w:color w:val="555555"/>
              </w:rPr>
              <w:lastRenderedPageBreak/>
              <w:t>1c.16</w:t>
            </w:r>
            <w:r w:rsidRPr="00CD35D2">
              <w:rPr>
                <w:rFonts w:ascii="Arial Narrow" w:hAnsi="Arial Narrow" w:cs="Arial"/>
                <w:b/>
              </w:rPr>
              <w:t xml:space="preserve"> Quote verbatim, </w:t>
            </w:r>
            <w:r w:rsidRPr="00CD35D2">
              <w:rPr>
                <w:rFonts w:ascii="Arial Narrow" w:hAnsi="Arial Narrow" w:cs="Arial"/>
                <w:b/>
                <w:u w:val="single"/>
              </w:rPr>
              <w:t>the specific guideline recommendation</w:t>
            </w:r>
            <w:r w:rsidRPr="00CD35D2">
              <w:rPr>
                <w:rFonts w:ascii="Arial Narrow" w:hAnsi="Arial Narrow" w:cs="Arial"/>
                <w:i/>
              </w:rPr>
              <w:t xml:space="preserve"> (</w:t>
            </w:r>
            <w:r>
              <w:rPr>
                <w:rFonts w:ascii="Arial Narrow" w:hAnsi="Arial Narrow" w:cs="Arial"/>
                <w:i/>
              </w:rPr>
              <w:t>I</w:t>
            </w:r>
            <w:r w:rsidRPr="00CD35D2">
              <w:rPr>
                <w:rFonts w:ascii="Arial Narrow" w:hAnsi="Arial Narrow" w:cs="Arial"/>
                <w:i/>
              </w:rPr>
              <w:t>ncluding guideline # and/or page #)</w:t>
            </w:r>
            <w:r w:rsidRPr="00B96AC5">
              <w:rPr>
                <w:rFonts w:ascii="Arial Narrow" w:hAnsi="Arial Narrow" w:cs="Arial"/>
                <w:b/>
              </w:rPr>
              <w:t>:</w:t>
            </w:r>
            <w:r>
              <w:rPr>
                <w:rFonts w:ascii="Arial Narrow" w:hAnsi="Arial Narrow" w:cs="Arial"/>
                <w:i/>
              </w:rPr>
              <w:t xml:space="preserve">  </w:t>
            </w:r>
          </w:p>
          <w:p w:rsidR="0003281F" w:rsidRPr="00CD35D2" w:rsidRDefault="0003281F" w:rsidP="0003281F">
            <w:pPr>
              <w:rPr>
                <w:rFonts w:ascii="Arial Narrow" w:hAnsi="Arial Narrow" w:cs="Arial"/>
                <w:bCs/>
              </w:rPr>
            </w:pPr>
            <w:r w:rsidRPr="00CD35D2">
              <w:rPr>
                <w:rFonts w:ascii="Arial Narrow" w:hAnsi="Arial Narrow" w:cs="Arial"/>
                <w:bCs/>
                <w:color w:val="0000FF"/>
              </w:rPr>
              <w:t>Routine annual influenza vaccination is recommended for all persons aged &gt;=6 months. To permit time for production of protective antibody levels, vaccination should optimally occur before onset of influenza activity in the community, and providers should offer vaccination as soon as vaccine is available. Vaccination also should continue to be offered throughout the influenza season.</w:t>
            </w:r>
          </w:p>
          <w:p w:rsidR="0003281F" w:rsidRPr="00CD35D2" w:rsidRDefault="0003281F" w:rsidP="0003281F">
            <w:pPr>
              <w:rPr>
                <w:rFonts w:ascii="Arial Narrow" w:hAnsi="Arial Narrow" w:cs="Arial"/>
                <w:bCs/>
                <w:color w:val="0000FF"/>
              </w:rPr>
            </w:pPr>
          </w:p>
          <w:p w:rsidR="0003281F" w:rsidRDefault="0003281F" w:rsidP="0003281F">
            <w:pPr>
              <w:rPr>
                <w:rFonts w:ascii="Arial Narrow" w:hAnsi="Arial Narrow" w:cs="Arial"/>
                <w:bCs/>
                <w:color w:val="0000FF"/>
              </w:rPr>
            </w:pPr>
            <w:r w:rsidRPr="00CD35D2">
              <w:rPr>
                <w:rFonts w:ascii="Arial Narrow" w:hAnsi="Arial Narrow" w:cs="Arial"/>
                <w:bCs/>
                <w:color w:val="0000FF"/>
              </w:rPr>
              <w:t xml:space="preserve">(CDC </w:t>
            </w:r>
            <w:r w:rsidR="00731FD2">
              <w:rPr>
                <w:rFonts w:ascii="Arial Narrow" w:hAnsi="Arial Narrow" w:cs="Arial"/>
                <w:bCs/>
                <w:color w:val="0000FF"/>
              </w:rPr>
              <w:t>, 2011)</w:t>
            </w:r>
            <w:r w:rsidRPr="00CD35D2">
              <w:rPr>
                <w:rFonts w:ascii="Arial Narrow" w:hAnsi="Arial Narrow" w:cs="Arial"/>
                <w:bCs/>
                <w:color w:val="0000FF"/>
              </w:rPr>
              <w:t xml:space="preserve"> </w:t>
            </w:r>
          </w:p>
          <w:p w:rsidR="000B060D" w:rsidRDefault="000B060D" w:rsidP="0003281F">
            <w:pPr>
              <w:rPr>
                <w:rFonts w:ascii="Arial Narrow" w:hAnsi="Arial Narrow" w:cs="Arial"/>
                <w:bCs/>
                <w:color w:val="0000FF"/>
              </w:rPr>
            </w:pPr>
          </w:p>
          <w:p w:rsidR="000B060D" w:rsidRPr="000B060D" w:rsidRDefault="00327B65" w:rsidP="0003281F">
            <w:pPr>
              <w:rPr>
                <w:rFonts w:ascii="Arial Narrow" w:hAnsi="Arial Narrow" w:cs="Arial"/>
                <w:bCs/>
                <w:color w:val="FF0000"/>
              </w:rPr>
            </w:pPr>
            <w:r>
              <w:rPr>
                <w:rFonts w:ascii="Arial Narrow" w:hAnsi="Arial Narrow" w:cs="Arial"/>
                <w:bCs/>
                <w:color w:val="FF0000"/>
              </w:rPr>
              <w:t xml:space="preserve">2015 Recommendation: </w:t>
            </w:r>
            <w:r w:rsidR="005F0689" w:rsidRPr="005F0689">
              <w:rPr>
                <w:rFonts w:ascii="Arial Narrow" w:hAnsi="Arial Narrow" w:cs="Arial"/>
                <w:bCs/>
                <w:color w:val="FF0000"/>
              </w:rPr>
              <w:t>Routine annual influenza vaccination is recommended for all persons aged ≥6 months who do not have contraindications. Optimally, vaccination should occur before onset of influenza activity in the community.</w:t>
            </w:r>
            <w:r w:rsidR="00731FD2">
              <w:rPr>
                <w:rFonts w:ascii="Arial Narrow" w:hAnsi="Arial Narrow" w:cs="Arial"/>
                <w:bCs/>
                <w:color w:val="FF0000"/>
              </w:rPr>
              <w:t xml:space="preserve"> (Grohskopf, 2015)</w:t>
            </w:r>
          </w:p>
          <w:p w:rsidR="0003281F" w:rsidRPr="00CD35D2" w:rsidRDefault="0003281F" w:rsidP="0003281F">
            <w:pPr>
              <w:rPr>
                <w:rFonts w:ascii="Arial Narrow" w:hAnsi="Arial Narrow" w:cs="Arial"/>
                <w:b/>
                <w:color w:val="555555"/>
              </w:rPr>
            </w:pPr>
          </w:p>
          <w:p w:rsidR="002B377B" w:rsidRDefault="0003281F" w:rsidP="0003281F">
            <w:pPr>
              <w:rPr>
                <w:rFonts w:ascii="Arial Narrow" w:hAnsi="Arial Narrow" w:cs="Arial"/>
                <w:color w:val="0000FF"/>
              </w:rPr>
            </w:pPr>
            <w:r w:rsidRPr="00CD35D2">
              <w:rPr>
                <w:rFonts w:ascii="Arial Narrow" w:hAnsi="Arial Narrow" w:cs="Arial"/>
                <w:b/>
                <w:color w:val="555555"/>
              </w:rPr>
              <w:t xml:space="preserve">1c.17 </w:t>
            </w:r>
            <w:r w:rsidRPr="00CD35D2">
              <w:rPr>
                <w:rFonts w:ascii="Arial Narrow" w:hAnsi="Arial Narrow" w:cs="Arial"/>
                <w:b/>
                <w:bCs/>
              </w:rPr>
              <w:t xml:space="preserve">Clinical Practice Guideline </w:t>
            </w:r>
            <w:r w:rsidRPr="00CD35D2">
              <w:rPr>
                <w:rFonts w:ascii="Arial Narrow" w:hAnsi="Arial Narrow" w:cs="Arial"/>
                <w:b/>
              </w:rPr>
              <w:t>Citation:</w:t>
            </w:r>
            <w:r w:rsidRPr="00CD35D2">
              <w:rPr>
                <w:rFonts w:ascii="Arial Narrow" w:hAnsi="Arial Narrow" w:cs="Arial"/>
                <w:color w:val="0000FF"/>
              </w:rPr>
              <w:t xml:space="preserve">  </w:t>
            </w:r>
          </w:p>
          <w:p w:rsidR="0003281F" w:rsidRDefault="0003281F" w:rsidP="0003281F">
            <w:pPr>
              <w:rPr>
                <w:rFonts w:ascii="Arial Narrow" w:hAnsi="Arial Narrow" w:cs="Arial"/>
                <w:bCs/>
                <w:color w:val="0000FF"/>
              </w:rPr>
            </w:pPr>
            <w:r w:rsidRPr="00CD35D2">
              <w:rPr>
                <w:rFonts w:ascii="Arial Narrow" w:hAnsi="Arial Narrow" w:cs="Arial"/>
                <w:bCs/>
                <w:color w:val="0000FF"/>
              </w:rPr>
              <w:t xml:space="preserve">Centers for Disease Control and Prevention (CDC).  Prevention and control of influenza with vaccines. Recommendations of the Advisory Committee on Immunization Practices (ACIP), 2011. MMWR 2011;60(Early Release). </w:t>
            </w:r>
          </w:p>
          <w:p w:rsidR="000B060D" w:rsidRDefault="000B060D" w:rsidP="0003281F">
            <w:pPr>
              <w:rPr>
                <w:rFonts w:ascii="Arial Narrow" w:hAnsi="Arial Narrow" w:cs="Arial"/>
                <w:bCs/>
                <w:color w:val="0000FF"/>
              </w:rPr>
            </w:pPr>
          </w:p>
          <w:p w:rsidR="000B060D" w:rsidRPr="000B060D" w:rsidRDefault="00327B65" w:rsidP="0003281F">
            <w:pPr>
              <w:rPr>
                <w:rFonts w:ascii="Arial Narrow" w:hAnsi="Arial Narrow" w:cs="Arial"/>
                <w:bCs/>
                <w:color w:val="FF0000"/>
              </w:rPr>
            </w:pPr>
            <w:r>
              <w:rPr>
                <w:rFonts w:ascii="Arial Narrow" w:hAnsi="Arial Narrow" w:cs="Arial"/>
                <w:bCs/>
                <w:color w:val="FF0000"/>
              </w:rPr>
              <w:t xml:space="preserve">2015 Recommendation: </w:t>
            </w:r>
            <w:r w:rsidR="000B060D" w:rsidRPr="000B060D">
              <w:rPr>
                <w:rFonts w:ascii="Arial Narrow" w:hAnsi="Arial Narrow" w:cs="Arial"/>
                <w:bCs/>
                <w:color w:val="FF0000"/>
              </w:rPr>
              <w:t xml:space="preserve">Grohskopf LA, Sokolow LZ, </w:t>
            </w:r>
            <w:r w:rsidR="000B060D">
              <w:rPr>
                <w:rFonts w:ascii="Arial Narrow" w:hAnsi="Arial Narrow" w:cs="Arial"/>
                <w:bCs/>
                <w:color w:val="FF0000"/>
              </w:rPr>
              <w:t xml:space="preserve">Olsen SJ, Bresee JS, Broder KR, Karron RA. </w:t>
            </w:r>
            <w:r w:rsidR="000B060D" w:rsidRPr="000B060D">
              <w:rPr>
                <w:rFonts w:ascii="Arial Narrow" w:hAnsi="Arial Narrow" w:cs="Arial"/>
                <w:bCs/>
                <w:color w:val="FF0000"/>
              </w:rPr>
              <w:t xml:space="preserve">Prevention and control of </w:t>
            </w:r>
            <w:r w:rsidR="005F0689">
              <w:rPr>
                <w:rFonts w:ascii="Arial Narrow" w:hAnsi="Arial Narrow" w:cs="Arial"/>
                <w:bCs/>
                <w:color w:val="FF0000"/>
              </w:rPr>
              <w:t>i</w:t>
            </w:r>
            <w:r w:rsidR="000B060D" w:rsidRPr="000B060D">
              <w:rPr>
                <w:rFonts w:ascii="Arial Narrow" w:hAnsi="Arial Narrow" w:cs="Arial"/>
                <w:bCs/>
                <w:color w:val="FF0000"/>
              </w:rPr>
              <w:t>nfluenza with vaccines: recommendations of the Advisory Committee o</w:t>
            </w:r>
            <w:r w:rsidR="005F0689">
              <w:rPr>
                <w:rFonts w:ascii="Arial Narrow" w:hAnsi="Arial Narrow" w:cs="Arial"/>
                <w:bCs/>
                <w:color w:val="FF0000"/>
              </w:rPr>
              <w:t xml:space="preserve">n Immunization Practices, United States, </w:t>
            </w:r>
            <w:r w:rsidR="000B060D" w:rsidRPr="000B060D">
              <w:rPr>
                <w:rFonts w:ascii="Arial Narrow" w:hAnsi="Arial Narrow" w:cs="Arial"/>
                <w:bCs/>
                <w:color w:val="FF0000"/>
              </w:rPr>
              <w:t>201</w:t>
            </w:r>
            <w:r w:rsidR="005F0689">
              <w:rPr>
                <w:rFonts w:ascii="Arial Narrow" w:hAnsi="Arial Narrow" w:cs="Arial"/>
                <w:bCs/>
                <w:color w:val="FF0000"/>
              </w:rPr>
              <w:t>5</w:t>
            </w:r>
            <w:r w:rsidR="000B060D" w:rsidRPr="000B060D">
              <w:rPr>
                <w:rFonts w:ascii="Arial Narrow" w:hAnsi="Arial Narrow" w:cs="Arial"/>
                <w:bCs/>
                <w:color w:val="FF0000"/>
              </w:rPr>
              <w:t>–1</w:t>
            </w:r>
            <w:r w:rsidR="005F0689">
              <w:rPr>
                <w:rFonts w:ascii="Arial Narrow" w:hAnsi="Arial Narrow" w:cs="Arial"/>
                <w:bCs/>
                <w:color w:val="FF0000"/>
              </w:rPr>
              <w:t>6</w:t>
            </w:r>
            <w:r w:rsidR="000B060D" w:rsidRPr="000B060D">
              <w:rPr>
                <w:rFonts w:ascii="Arial Narrow" w:hAnsi="Arial Narrow" w:cs="Arial"/>
                <w:bCs/>
                <w:color w:val="FF0000"/>
              </w:rPr>
              <w:t xml:space="preserve"> influenza season. MMWR Morb Mortal Wkly Rep</w:t>
            </w:r>
            <w:r w:rsidR="005F0689">
              <w:rPr>
                <w:rFonts w:ascii="Arial Narrow" w:hAnsi="Arial Narrow" w:cs="Arial"/>
                <w:bCs/>
                <w:color w:val="FF0000"/>
              </w:rPr>
              <w:t>. 2015</w:t>
            </w:r>
            <w:r w:rsidR="000B060D" w:rsidRPr="000B060D">
              <w:rPr>
                <w:rFonts w:ascii="Arial Narrow" w:hAnsi="Arial Narrow" w:cs="Arial"/>
                <w:bCs/>
                <w:color w:val="FF0000"/>
              </w:rPr>
              <w:t>;6</w:t>
            </w:r>
            <w:r w:rsidR="005F0689">
              <w:rPr>
                <w:rFonts w:ascii="Arial Narrow" w:hAnsi="Arial Narrow" w:cs="Arial"/>
                <w:bCs/>
                <w:color w:val="FF0000"/>
              </w:rPr>
              <w:t>4(30)</w:t>
            </w:r>
            <w:r w:rsidR="000B060D" w:rsidRPr="000B060D">
              <w:rPr>
                <w:rFonts w:ascii="Arial Narrow" w:hAnsi="Arial Narrow" w:cs="Arial"/>
                <w:bCs/>
                <w:color w:val="FF0000"/>
              </w:rPr>
              <w:t>:</w:t>
            </w:r>
            <w:r w:rsidR="005F0689">
              <w:rPr>
                <w:rFonts w:ascii="Arial Narrow" w:hAnsi="Arial Narrow" w:cs="Arial"/>
                <w:bCs/>
                <w:color w:val="FF0000"/>
              </w:rPr>
              <w:t>818-825</w:t>
            </w:r>
            <w:r w:rsidR="000B060D" w:rsidRPr="000B060D">
              <w:rPr>
                <w:rFonts w:ascii="Arial Narrow" w:hAnsi="Arial Narrow" w:cs="Arial"/>
                <w:bCs/>
                <w:color w:val="FF0000"/>
              </w:rPr>
              <w:t>.</w:t>
            </w:r>
          </w:p>
          <w:p w:rsidR="0003281F" w:rsidRPr="00CD35D2" w:rsidRDefault="0003281F" w:rsidP="0003281F">
            <w:pPr>
              <w:rPr>
                <w:rFonts w:ascii="Arial Narrow" w:hAnsi="Arial Narrow" w:cs="Arial"/>
                <w:bCs/>
              </w:rPr>
            </w:pPr>
          </w:p>
          <w:p w:rsidR="0003281F" w:rsidRDefault="0003281F" w:rsidP="0003281F">
            <w:pPr>
              <w:rPr>
                <w:rFonts w:ascii="Arial Narrow" w:hAnsi="Arial Narrow" w:cs="Arial"/>
                <w:bCs/>
                <w:color w:val="0000FF"/>
              </w:rPr>
            </w:pPr>
            <w:r w:rsidRPr="00CD35D2">
              <w:rPr>
                <w:rFonts w:ascii="Arial Narrow" w:hAnsi="Arial Narrow" w:cs="Arial"/>
                <w:b/>
                <w:color w:val="555555"/>
              </w:rPr>
              <w:t xml:space="preserve">1c.18 </w:t>
            </w:r>
            <w:r w:rsidRPr="00CD35D2">
              <w:rPr>
                <w:rFonts w:ascii="Arial Narrow" w:hAnsi="Arial Narrow" w:cs="Arial"/>
                <w:b/>
              </w:rPr>
              <w:t xml:space="preserve">National Guideline Clearinghouse or other URL:  </w:t>
            </w:r>
            <w:hyperlink r:id="rId11" w:history="1">
              <w:r w:rsidR="00731FD2" w:rsidRPr="00F36B3E">
                <w:rPr>
                  <w:rStyle w:val="Hyperlink"/>
                  <w:rFonts w:ascii="Arial Narrow" w:hAnsi="Arial Narrow" w:cs="Arial"/>
                  <w:bCs/>
                </w:rPr>
                <w:t>http://www.cdc.gov/flu/professionals/acip/</w:t>
              </w:r>
            </w:hyperlink>
          </w:p>
          <w:p w:rsidR="00731FD2" w:rsidRDefault="00731FD2" w:rsidP="0003281F">
            <w:pPr>
              <w:rPr>
                <w:rFonts w:ascii="Arial Narrow" w:hAnsi="Arial Narrow" w:cs="Arial"/>
                <w:bCs/>
                <w:color w:val="0000FF"/>
              </w:rPr>
            </w:pPr>
          </w:p>
          <w:p w:rsidR="00731FD2" w:rsidRPr="00731FD2" w:rsidRDefault="00731FD2" w:rsidP="0003281F">
            <w:pPr>
              <w:rPr>
                <w:rFonts w:ascii="Arial Narrow" w:hAnsi="Arial Narrow" w:cs="Arial"/>
                <w:bCs/>
                <w:color w:val="FF0000"/>
              </w:rPr>
            </w:pPr>
            <w:r w:rsidRPr="00731FD2">
              <w:rPr>
                <w:rFonts w:ascii="Arial Narrow" w:hAnsi="Arial Narrow" w:cs="Arial"/>
                <w:bCs/>
                <w:color w:val="FF0000"/>
              </w:rPr>
              <w:t>2015 Recommendation: http://www.cdc.gov/mmwr/preview/mmwrhtml/mm6430a3.htm</w:t>
            </w:r>
          </w:p>
          <w:p w:rsidR="0003281F" w:rsidRPr="00CD35D2" w:rsidRDefault="0003281F" w:rsidP="00731FD2">
            <w:pPr>
              <w:jc w:val="center"/>
              <w:rPr>
                <w:rFonts w:ascii="Arial Narrow" w:hAnsi="Arial Narrow" w:cs="Arial"/>
                <w:bCs/>
                <w:color w:val="0000FF"/>
              </w:rPr>
            </w:pPr>
          </w:p>
          <w:p w:rsidR="0003281F" w:rsidRPr="00CD35D2" w:rsidRDefault="0003281F" w:rsidP="0003281F">
            <w:pPr>
              <w:rPr>
                <w:rFonts w:ascii="Arial Narrow" w:hAnsi="Arial Narrow" w:cs="Arial"/>
                <w:b/>
              </w:rPr>
            </w:pPr>
            <w:r w:rsidRPr="00CD35D2">
              <w:rPr>
                <w:rFonts w:ascii="Arial Narrow" w:hAnsi="Arial Narrow" w:cs="Arial"/>
                <w:b/>
                <w:color w:val="555555"/>
              </w:rPr>
              <w:t>1c.19</w:t>
            </w:r>
            <w:r w:rsidRPr="00CD35D2">
              <w:rPr>
                <w:rFonts w:ascii="Arial Narrow" w:hAnsi="Arial Narrow" w:cs="Arial"/>
                <w:bCs/>
                <w:color w:val="0000FF"/>
              </w:rPr>
              <w:t xml:space="preserve"> </w:t>
            </w:r>
            <w:r w:rsidRPr="00CD35D2">
              <w:rPr>
                <w:rFonts w:ascii="Arial Narrow" w:hAnsi="Arial Narrow" w:cs="Arial"/>
                <w:b/>
              </w:rPr>
              <w:t xml:space="preserve">Grading of </w:t>
            </w:r>
            <w:r>
              <w:rPr>
                <w:rFonts w:ascii="Arial Narrow" w:hAnsi="Arial Narrow" w:cs="Arial"/>
                <w:b/>
              </w:rPr>
              <w:t>S</w:t>
            </w:r>
            <w:r w:rsidRPr="00CD35D2">
              <w:rPr>
                <w:rFonts w:ascii="Arial Narrow" w:hAnsi="Arial Narrow" w:cs="Arial"/>
                <w:b/>
              </w:rPr>
              <w:t xml:space="preserve">trength of </w:t>
            </w:r>
            <w:r>
              <w:rPr>
                <w:rFonts w:ascii="Arial Narrow" w:hAnsi="Arial Narrow" w:cs="Arial"/>
                <w:b/>
              </w:rPr>
              <w:t>G</w:t>
            </w:r>
            <w:r w:rsidRPr="00CD35D2">
              <w:rPr>
                <w:rFonts w:ascii="Arial Narrow" w:hAnsi="Arial Narrow" w:cs="Arial"/>
                <w:b/>
              </w:rPr>
              <w:t xml:space="preserve">uideline </w:t>
            </w:r>
            <w:r>
              <w:rPr>
                <w:rFonts w:ascii="Arial Narrow" w:hAnsi="Arial Narrow" w:cs="Arial"/>
                <w:b/>
              </w:rPr>
              <w:t>R</w:t>
            </w:r>
            <w:r w:rsidRPr="00CD35D2">
              <w:rPr>
                <w:rFonts w:ascii="Arial Narrow" w:hAnsi="Arial Narrow" w:cs="Arial"/>
                <w:b/>
              </w:rPr>
              <w:t xml:space="preserve">ecommendation. </w:t>
            </w:r>
            <w:r w:rsidRPr="00F3136B">
              <w:rPr>
                <w:rFonts w:ascii="Arial Narrow" w:hAnsi="Arial Narrow" w:cs="Arial"/>
              </w:rPr>
              <w:t>Has the recommendation been graded?</w:t>
            </w:r>
            <w:r>
              <w:rPr>
                <w:rFonts w:ascii="Arial Narrow" w:hAnsi="Arial Narrow" w:cs="Arial"/>
                <w:b/>
              </w:rPr>
              <w:t xml:space="preserve">  </w:t>
            </w:r>
            <w:r w:rsidRPr="000D1054">
              <w:rPr>
                <w:rFonts w:ascii="Arial Narrow" w:hAnsi="Arial Narrow" w:cs="Arial"/>
                <w:color w:val="0000FF"/>
              </w:rPr>
              <w:t>No</w:t>
            </w:r>
          </w:p>
          <w:p w:rsidR="0003281F" w:rsidRPr="00CD35D2" w:rsidRDefault="0003281F" w:rsidP="0003281F">
            <w:pPr>
              <w:rPr>
                <w:rFonts w:ascii="Arial Narrow" w:hAnsi="Arial Narrow" w:cs="Arial"/>
                <w:bCs/>
                <w:color w:val="0000FF"/>
              </w:rPr>
            </w:pPr>
          </w:p>
          <w:p w:rsidR="0003281F" w:rsidRPr="00CD35D2" w:rsidRDefault="0003281F" w:rsidP="0003281F">
            <w:pPr>
              <w:rPr>
                <w:rFonts w:ascii="Arial Narrow" w:hAnsi="Arial Narrow" w:cs="Arial"/>
                <w:b/>
              </w:rPr>
            </w:pPr>
            <w:r w:rsidRPr="00CD35D2">
              <w:rPr>
                <w:rFonts w:ascii="Arial Narrow" w:hAnsi="Arial Narrow" w:cs="Arial"/>
                <w:b/>
                <w:color w:val="555555"/>
              </w:rPr>
              <w:t>1c.20</w:t>
            </w:r>
            <w:r w:rsidRPr="00CD35D2">
              <w:rPr>
                <w:rFonts w:ascii="Arial Narrow" w:hAnsi="Arial Narrow" w:cs="Arial"/>
                <w:b/>
              </w:rPr>
              <w:t xml:space="preserve"> If guideline recommendation graded, identify the entity that graded the evidence including balance of representation and any disclosures regarding bias:</w:t>
            </w:r>
            <w:r>
              <w:rPr>
                <w:rFonts w:ascii="Arial Narrow" w:hAnsi="Arial Narrow" w:cs="Arial"/>
                <w:b/>
              </w:rPr>
              <w:t xml:space="preserve">  </w:t>
            </w:r>
            <w:r w:rsidR="00731FD2" w:rsidRPr="00731FD2">
              <w:rPr>
                <w:rFonts w:ascii="Arial Narrow" w:hAnsi="Arial Narrow" w:cs="Arial"/>
                <w:color w:val="FF0000"/>
              </w:rPr>
              <w:t>Not applicable</w:t>
            </w:r>
          </w:p>
          <w:p w:rsidR="0003281F" w:rsidRPr="00CD35D2" w:rsidRDefault="0003281F" w:rsidP="0003281F">
            <w:pPr>
              <w:rPr>
                <w:rFonts w:ascii="Arial Narrow" w:hAnsi="Arial Narrow" w:cs="Arial"/>
                <w:b/>
              </w:rPr>
            </w:pPr>
          </w:p>
          <w:p w:rsidR="0003281F" w:rsidRPr="0052456B" w:rsidRDefault="0003281F" w:rsidP="0003281F">
            <w:pPr>
              <w:rPr>
                <w:rFonts w:ascii="Arial Narrow" w:hAnsi="Arial Narrow" w:cs="Arial"/>
                <w:b/>
                <w:highlight w:val="yellow"/>
              </w:rPr>
            </w:pPr>
            <w:r w:rsidRPr="00CD35D2">
              <w:rPr>
                <w:rFonts w:ascii="Arial Narrow" w:hAnsi="Arial Narrow" w:cs="Arial"/>
                <w:b/>
                <w:color w:val="555555"/>
              </w:rPr>
              <w:t>1c.21</w:t>
            </w:r>
            <w:r w:rsidRPr="00CD35D2">
              <w:rPr>
                <w:rFonts w:ascii="Arial Narrow" w:hAnsi="Arial Narrow" w:cs="Arial"/>
                <w:b/>
              </w:rPr>
              <w:t xml:space="preserve"> System </w:t>
            </w:r>
            <w:r>
              <w:rPr>
                <w:rFonts w:ascii="Arial Narrow" w:hAnsi="Arial Narrow" w:cs="Arial"/>
                <w:b/>
              </w:rPr>
              <w:t>U</w:t>
            </w:r>
            <w:r w:rsidRPr="00CD35D2">
              <w:rPr>
                <w:rFonts w:ascii="Arial Narrow" w:hAnsi="Arial Narrow" w:cs="Arial"/>
                <w:b/>
              </w:rPr>
              <w:t xml:space="preserve">sed for </w:t>
            </w:r>
            <w:r>
              <w:rPr>
                <w:rFonts w:ascii="Arial Narrow" w:hAnsi="Arial Narrow" w:cs="Arial"/>
                <w:b/>
              </w:rPr>
              <w:t>G</w:t>
            </w:r>
            <w:r w:rsidRPr="00CD35D2">
              <w:rPr>
                <w:rFonts w:ascii="Arial Narrow" w:hAnsi="Arial Narrow" w:cs="Arial"/>
                <w:b/>
              </w:rPr>
              <w:t xml:space="preserve">rading the </w:t>
            </w:r>
            <w:r>
              <w:rPr>
                <w:rFonts w:ascii="Arial Narrow" w:hAnsi="Arial Narrow" w:cs="Arial"/>
                <w:b/>
              </w:rPr>
              <w:t>S</w:t>
            </w:r>
            <w:r w:rsidRPr="00CD35D2">
              <w:rPr>
                <w:rFonts w:ascii="Arial Narrow" w:hAnsi="Arial Narrow" w:cs="Arial"/>
                <w:b/>
              </w:rPr>
              <w:t xml:space="preserve">trength of </w:t>
            </w:r>
            <w:r>
              <w:rPr>
                <w:rFonts w:ascii="Arial Narrow" w:hAnsi="Arial Narrow" w:cs="Arial"/>
                <w:b/>
              </w:rPr>
              <w:t>G</w:t>
            </w:r>
            <w:r w:rsidRPr="00CD35D2">
              <w:rPr>
                <w:rFonts w:ascii="Arial Narrow" w:hAnsi="Arial Narrow" w:cs="Arial"/>
                <w:b/>
              </w:rPr>
              <w:t xml:space="preserve">uideline </w:t>
            </w:r>
            <w:r>
              <w:rPr>
                <w:rFonts w:ascii="Arial Narrow" w:hAnsi="Arial Narrow" w:cs="Arial"/>
                <w:b/>
              </w:rPr>
              <w:t>R</w:t>
            </w:r>
            <w:r w:rsidRPr="00CD35D2">
              <w:rPr>
                <w:rFonts w:ascii="Arial Narrow" w:hAnsi="Arial Narrow" w:cs="Arial"/>
                <w:b/>
              </w:rPr>
              <w:t>ecommendation</w:t>
            </w:r>
            <w:r>
              <w:rPr>
                <w:rFonts w:ascii="Arial Narrow" w:hAnsi="Arial Narrow" w:cs="Arial"/>
                <w:b/>
              </w:rPr>
              <w:t xml:space="preserve">:  </w:t>
            </w:r>
            <w:r w:rsidRPr="009E0AAE">
              <w:rPr>
                <w:rFonts w:ascii="Arial Narrow" w:hAnsi="Arial Narrow" w:cs="Arial"/>
                <w:color w:val="0000FF"/>
              </w:rPr>
              <w:t>Not applicable</w:t>
            </w:r>
          </w:p>
          <w:p w:rsidR="0003281F" w:rsidRPr="0052456B" w:rsidRDefault="0003281F" w:rsidP="0003281F">
            <w:pPr>
              <w:rPr>
                <w:rFonts w:ascii="Arial Narrow" w:hAnsi="Arial Narrow" w:cs="Arial"/>
                <w:b/>
                <w:color w:val="555555"/>
                <w:highlight w:val="yellow"/>
              </w:rPr>
            </w:pPr>
          </w:p>
          <w:p w:rsidR="0003281F" w:rsidRPr="00CD35D2" w:rsidRDefault="0003281F" w:rsidP="0003281F">
            <w:pPr>
              <w:rPr>
                <w:rFonts w:ascii="Arial Narrow" w:hAnsi="Arial Narrow" w:cs="Arial"/>
                <w:b/>
              </w:rPr>
            </w:pPr>
            <w:r w:rsidRPr="009E0AAE">
              <w:rPr>
                <w:rFonts w:ascii="Arial Narrow" w:hAnsi="Arial Narrow" w:cs="Arial"/>
                <w:b/>
                <w:color w:val="555555"/>
              </w:rPr>
              <w:t>1c.22</w:t>
            </w:r>
            <w:r w:rsidRPr="009E0AAE">
              <w:rPr>
                <w:rFonts w:ascii="Arial Narrow" w:hAnsi="Arial Narrow" w:cs="Arial"/>
                <w:b/>
              </w:rPr>
              <w:t xml:space="preserve"> If other, identify and describe the grading scale with definitions:</w:t>
            </w:r>
            <w:r>
              <w:rPr>
                <w:rFonts w:ascii="Arial Narrow" w:hAnsi="Arial Narrow" w:cs="Arial"/>
                <w:b/>
              </w:rPr>
              <w:t xml:space="preserve">  </w:t>
            </w:r>
          </w:p>
          <w:p w:rsidR="0003281F" w:rsidRPr="00CD35D2" w:rsidRDefault="0003281F" w:rsidP="0003281F">
            <w:pPr>
              <w:rPr>
                <w:rFonts w:ascii="Arial Narrow" w:hAnsi="Arial Narrow" w:cs="Arial"/>
                <w:b/>
              </w:rPr>
            </w:pPr>
          </w:p>
          <w:p w:rsidR="0003281F" w:rsidRPr="00CD35D2" w:rsidRDefault="0003281F" w:rsidP="0003281F">
            <w:pPr>
              <w:rPr>
                <w:rFonts w:ascii="Arial Narrow" w:hAnsi="Arial Narrow" w:cs="Arial"/>
                <w:b/>
              </w:rPr>
            </w:pPr>
            <w:r w:rsidRPr="00CD35D2">
              <w:rPr>
                <w:rFonts w:ascii="Arial Narrow" w:hAnsi="Arial Narrow" w:cs="Arial"/>
                <w:b/>
                <w:color w:val="555555"/>
              </w:rPr>
              <w:t>1c.23</w:t>
            </w:r>
            <w:r w:rsidRPr="00CD35D2">
              <w:rPr>
                <w:rFonts w:ascii="Arial Narrow" w:hAnsi="Arial Narrow" w:cs="Arial"/>
                <w:b/>
              </w:rPr>
              <w:t xml:space="preserve"> Grade </w:t>
            </w:r>
            <w:r>
              <w:rPr>
                <w:rFonts w:ascii="Arial Narrow" w:hAnsi="Arial Narrow" w:cs="Arial"/>
                <w:b/>
              </w:rPr>
              <w:t>A</w:t>
            </w:r>
            <w:r w:rsidRPr="00CD35D2">
              <w:rPr>
                <w:rFonts w:ascii="Arial Narrow" w:hAnsi="Arial Narrow" w:cs="Arial"/>
                <w:b/>
              </w:rPr>
              <w:t xml:space="preserve">ssigned to the </w:t>
            </w:r>
            <w:r>
              <w:rPr>
                <w:rFonts w:ascii="Arial Narrow" w:hAnsi="Arial Narrow" w:cs="Arial"/>
                <w:b/>
              </w:rPr>
              <w:t>R</w:t>
            </w:r>
            <w:r w:rsidRPr="00CD35D2">
              <w:rPr>
                <w:rFonts w:ascii="Arial Narrow" w:hAnsi="Arial Narrow" w:cs="Arial"/>
                <w:b/>
              </w:rPr>
              <w:t>ecommendation</w:t>
            </w:r>
            <w:r>
              <w:rPr>
                <w:rFonts w:ascii="Arial Narrow" w:hAnsi="Arial Narrow" w:cs="Arial"/>
                <w:b/>
              </w:rPr>
              <w:t xml:space="preserve">:  </w:t>
            </w:r>
            <w:r w:rsidRPr="00F40688">
              <w:rPr>
                <w:rFonts w:ascii="Arial Narrow" w:hAnsi="Arial Narrow" w:cs="Arial"/>
                <w:color w:val="0000FF"/>
              </w:rPr>
              <w:t>Not rated</w:t>
            </w:r>
          </w:p>
          <w:p w:rsidR="0003281F" w:rsidRPr="00CD35D2" w:rsidRDefault="0003281F" w:rsidP="0003281F">
            <w:pPr>
              <w:rPr>
                <w:rFonts w:ascii="Arial Narrow" w:hAnsi="Arial Narrow" w:cs="Arial"/>
                <w:b/>
                <w:color w:val="555555"/>
              </w:rPr>
            </w:pPr>
          </w:p>
          <w:p w:rsidR="0003281F" w:rsidRDefault="0003281F" w:rsidP="0003281F">
            <w:pPr>
              <w:rPr>
                <w:rFonts w:ascii="Arial Narrow" w:hAnsi="Arial Narrow" w:cs="Arial"/>
                <w:color w:val="0000FF"/>
              </w:rPr>
            </w:pPr>
            <w:r w:rsidRPr="00CD35D2">
              <w:rPr>
                <w:rFonts w:ascii="Arial Narrow" w:hAnsi="Arial Narrow" w:cs="Arial"/>
                <w:b/>
                <w:color w:val="555555"/>
              </w:rPr>
              <w:t>1c.24</w:t>
            </w:r>
            <w:r w:rsidRPr="00CD35D2">
              <w:rPr>
                <w:rFonts w:ascii="Arial Narrow" w:hAnsi="Arial Narrow" w:cs="Arial"/>
                <w:b/>
              </w:rPr>
              <w:t xml:space="preserve"> Rationale for </w:t>
            </w:r>
            <w:r>
              <w:rPr>
                <w:rFonts w:ascii="Arial Narrow" w:hAnsi="Arial Narrow" w:cs="Arial"/>
                <w:b/>
              </w:rPr>
              <w:t>U</w:t>
            </w:r>
            <w:r w:rsidRPr="00CD35D2">
              <w:rPr>
                <w:rFonts w:ascii="Arial Narrow" w:hAnsi="Arial Narrow" w:cs="Arial"/>
                <w:b/>
              </w:rPr>
              <w:t xml:space="preserve">sing this </w:t>
            </w:r>
            <w:r>
              <w:rPr>
                <w:rFonts w:ascii="Arial Narrow" w:hAnsi="Arial Narrow" w:cs="Arial"/>
                <w:b/>
              </w:rPr>
              <w:t>G</w:t>
            </w:r>
            <w:r w:rsidRPr="00CD35D2">
              <w:rPr>
                <w:rFonts w:ascii="Arial Narrow" w:hAnsi="Arial Narrow" w:cs="Arial"/>
                <w:b/>
              </w:rPr>
              <w:t xml:space="preserve">uideline </w:t>
            </w:r>
            <w:r>
              <w:rPr>
                <w:rFonts w:ascii="Arial Narrow" w:hAnsi="Arial Narrow" w:cs="Arial"/>
                <w:b/>
              </w:rPr>
              <w:t>O</w:t>
            </w:r>
            <w:r w:rsidRPr="00CD35D2">
              <w:rPr>
                <w:rFonts w:ascii="Arial Narrow" w:hAnsi="Arial Narrow" w:cs="Arial"/>
                <w:b/>
              </w:rPr>
              <w:t xml:space="preserve">ver </w:t>
            </w:r>
            <w:r>
              <w:rPr>
                <w:rFonts w:ascii="Arial Narrow" w:hAnsi="Arial Narrow" w:cs="Arial"/>
                <w:b/>
              </w:rPr>
              <w:t xml:space="preserve">Others:  </w:t>
            </w:r>
            <w:r w:rsidRPr="003D0220">
              <w:rPr>
                <w:rFonts w:ascii="Arial Narrow" w:hAnsi="Arial Narrow" w:cs="Arial"/>
                <w:strike/>
                <w:color w:val="0000FF"/>
              </w:rPr>
              <w:t>It is the PCPI policy to use guidelines, which are evidence-based, applicable to physicians and other healthcare providers, and developed by a national specialty organization or government agency. In addition, the PCPI has now expanded what is acceptable as the evidence base for measures to included documented quality improvement (QI) initiatives or implementation projects that have demonstrated improvement in the quality of care.</w:t>
            </w:r>
          </w:p>
          <w:p w:rsidR="0065282E" w:rsidRDefault="0065282E" w:rsidP="0003281F">
            <w:pPr>
              <w:rPr>
                <w:rFonts w:ascii="Arial Narrow" w:hAnsi="Arial Narrow" w:cs="Arial"/>
                <w:color w:val="0000FF"/>
              </w:rPr>
            </w:pPr>
          </w:p>
          <w:p w:rsidR="008B6881" w:rsidRPr="008B6881" w:rsidRDefault="0065282E" w:rsidP="008B6881">
            <w:pPr>
              <w:rPr>
                <w:rFonts w:ascii="Arial Narrow" w:hAnsi="Arial Narrow" w:cs="Arial"/>
                <w:color w:val="FF0000"/>
              </w:rPr>
            </w:pPr>
            <w:r w:rsidRPr="0065282E">
              <w:rPr>
                <w:rFonts w:ascii="Arial Narrow" w:hAnsi="Arial Narrow" w:cs="Arial"/>
                <w:color w:val="FF0000"/>
              </w:rPr>
              <w:t xml:space="preserve">Recommendations for routine use of </w:t>
            </w:r>
            <w:r w:rsidR="00640F02">
              <w:rPr>
                <w:rFonts w:ascii="Arial Narrow" w:hAnsi="Arial Narrow" w:cs="Arial"/>
                <w:color w:val="FF0000"/>
              </w:rPr>
              <w:t>influenza vaccines</w:t>
            </w:r>
            <w:r w:rsidRPr="0065282E">
              <w:rPr>
                <w:rFonts w:ascii="Arial Narrow" w:hAnsi="Arial Narrow" w:cs="Arial"/>
                <w:color w:val="FF0000"/>
              </w:rPr>
              <w:t xml:space="preserve"> are developed by </w:t>
            </w:r>
            <w:r>
              <w:rPr>
                <w:rFonts w:ascii="Arial Narrow" w:hAnsi="Arial Narrow" w:cs="Arial"/>
                <w:color w:val="FF0000"/>
              </w:rPr>
              <w:t xml:space="preserve">ACIP which is a federal </w:t>
            </w:r>
            <w:r w:rsidRPr="0065282E">
              <w:rPr>
                <w:rFonts w:ascii="Arial Narrow" w:hAnsi="Arial Narrow" w:cs="Arial"/>
                <w:color w:val="FF0000"/>
              </w:rPr>
              <w:t xml:space="preserve">advisory committee </w:t>
            </w:r>
            <w:r>
              <w:rPr>
                <w:rFonts w:ascii="Arial Narrow" w:hAnsi="Arial Narrow" w:cs="Arial"/>
                <w:color w:val="FF0000"/>
              </w:rPr>
              <w:t>that</w:t>
            </w:r>
            <w:r w:rsidRPr="0065282E">
              <w:rPr>
                <w:rFonts w:ascii="Arial Narrow" w:hAnsi="Arial Narrow" w:cs="Arial"/>
                <w:color w:val="FF0000"/>
              </w:rPr>
              <w:t xml:space="preserve"> provide</w:t>
            </w:r>
            <w:r>
              <w:rPr>
                <w:rFonts w:ascii="Arial Narrow" w:hAnsi="Arial Narrow" w:cs="Arial"/>
                <w:color w:val="FF0000"/>
              </w:rPr>
              <w:t>s</w:t>
            </w:r>
            <w:r w:rsidRPr="0065282E">
              <w:rPr>
                <w:rFonts w:ascii="Arial Narrow" w:hAnsi="Arial Narrow" w:cs="Arial"/>
                <w:color w:val="FF0000"/>
              </w:rPr>
              <w:t xml:space="preserve"> expert external advice and guidance to the </w:t>
            </w:r>
            <w:r w:rsidR="00640F02">
              <w:rPr>
                <w:rFonts w:ascii="Arial Narrow" w:hAnsi="Arial Narrow" w:cs="Arial"/>
                <w:color w:val="FF0000"/>
              </w:rPr>
              <w:t>CDC</w:t>
            </w:r>
            <w:r>
              <w:rPr>
                <w:rFonts w:ascii="Arial Narrow" w:hAnsi="Arial Narrow" w:cs="Arial"/>
                <w:color w:val="FF0000"/>
              </w:rPr>
              <w:t xml:space="preserve">. The ACIP recommendations </w:t>
            </w:r>
            <w:r w:rsidR="00640F02">
              <w:rPr>
                <w:rFonts w:ascii="Arial Narrow" w:hAnsi="Arial Narrow" w:cs="Arial"/>
                <w:color w:val="FF0000"/>
              </w:rPr>
              <w:t xml:space="preserve">become CDC guidelines upon publication in the Morbidity and Mortality Weekly </w:t>
            </w:r>
            <w:r w:rsidR="00103D98">
              <w:rPr>
                <w:rFonts w:ascii="Arial Narrow" w:hAnsi="Arial Narrow" w:cs="Arial"/>
                <w:color w:val="FF0000"/>
              </w:rPr>
              <w:t xml:space="preserve">Report.  </w:t>
            </w:r>
            <w:r w:rsidR="008B6881">
              <w:rPr>
                <w:rFonts w:ascii="Arial Narrow" w:hAnsi="Arial Narrow" w:cs="Arial"/>
                <w:color w:val="FF0000"/>
              </w:rPr>
              <w:t>It is</w:t>
            </w:r>
            <w:r w:rsidR="008B6881" w:rsidRPr="008B6881">
              <w:rPr>
                <w:rFonts w:ascii="Arial Narrow" w:hAnsi="Arial Narrow" w:cs="Arial"/>
                <w:color w:val="FF0000"/>
              </w:rPr>
              <w:t xml:space="preserve"> PCPI policy to use guidelines, which are evidence-based, applicable to physicians and other healthcare providers, and developed by a national specialty organization or government agency. In addition, the PCPI has expanded what is acceptable as the evidence base for measure</w:t>
            </w:r>
            <w:r w:rsidR="008B6881">
              <w:rPr>
                <w:rFonts w:ascii="Arial Narrow" w:hAnsi="Arial Narrow" w:cs="Arial"/>
                <w:color w:val="FF0000"/>
              </w:rPr>
              <w:t>s to include</w:t>
            </w:r>
            <w:r w:rsidR="008B6881" w:rsidRPr="008B6881">
              <w:rPr>
                <w:rFonts w:ascii="Arial Narrow" w:hAnsi="Arial Narrow" w:cs="Arial"/>
                <w:color w:val="FF0000"/>
              </w:rPr>
              <w:t xml:space="preserve"> documented quality improvement (QI) initiatives or implementation projects that have demonstrated improvement in the quality of care.</w:t>
            </w:r>
          </w:p>
          <w:p w:rsidR="0065282E" w:rsidRPr="0065282E" w:rsidRDefault="0065282E" w:rsidP="003D0220">
            <w:pPr>
              <w:rPr>
                <w:rFonts w:ascii="Arial Narrow" w:hAnsi="Arial Narrow" w:cs="Arial"/>
                <w:color w:val="FF0000"/>
              </w:rPr>
            </w:pPr>
          </w:p>
        </w:tc>
      </w:tr>
      <w:tr w:rsidR="0003281F" w:rsidRPr="00027BA8" w:rsidTr="0003281F">
        <w:tc>
          <w:tcPr>
            <w:tcW w:w="5000" w:type="pct"/>
          </w:tcPr>
          <w:p w:rsidR="0003281F" w:rsidRPr="00CD35D2" w:rsidRDefault="0003281F" w:rsidP="0003281F">
            <w:pPr>
              <w:rPr>
                <w:rFonts w:ascii="Arial Narrow" w:hAnsi="Arial Narrow" w:cs="Arial"/>
                <w:b/>
              </w:rPr>
            </w:pPr>
            <w:r w:rsidRPr="00CD35D2">
              <w:rPr>
                <w:rFonts w:ascii="Arial Narrow" w:hAnsi="Arial Narrow" w:cs="Arial"/>
                <w:b/>
              </w:rPr>
              <w:t xml:space="preserve">Based on the NQF descriptions for </w:t>
            </w:r>
            <w:r w:rsidRPr="008C31F4">
              <w:rPr>
                <w:rFonts w:ascii="Arial Narrow" w:hAnsi="Arial Narrow" w:cs="Arial"/>
                <w:b/>
              </w:rPr>
              <w:t>rating the evidence</w:t>
            </w:r>
            <w:r w:rsidRPr="00CD35D2">
              <w:rPr>
                <w:rFonts w:ascii="Arial Narrow" w:hAnsi="Arial Narrow" w:cs="Arial"/>
                <w:b/>
              </w:rPr>
              <w:t xml:space="preserve">, what was the </w:t>
            </w:r>
            <w:r w:rsidRPr="008C31F4">
              <w:rPr>
                <w:rFonts w:ascii="Arial Narrow" w:hAnsi="Arial Narrow" w:cs="Arial"/>
                <w:b/>
                <w:u w:val="single"/>
              </w:rPr>
              <w:t>developer’s assessment</w:t>
            </w:r>
            <w:r w:rsidRPr="00CD35D2">
              <w:rPr>
                <w:rFonts w:ascii="Arial Narrow" w:hAnsi="Arial Narrow" w:cs="Arial"/>
                <w:b/>
              </w:rPr>
              <w:t xml:space="preserve"> of the quantity, quality, and consistency of the body of evidence?</w:t>
            </w:r>
            <w:r>
              <w:rPr>
                <w:rFonts w:ascii="Arial Narrow" w:hAnsi="Arial Narrow" w:cs="Arial"/>
                <w:b/>
              </w:rPr>
              <w:t xml:space="preserve"> </w:t>
            </w:r>
          </w:p>
          <w:p w:rsidR="0003281F" w:rsidRDefault="0003281F" w:rsidP="0003281F">
            <w:pPr>
              <w:rPr>
                <w:rFonts w:ascii="Arial Narrow" w:hAnsi="Arial Narrow" w:cs="Arial"/>
                <w:b/>
              </w:rPr>
            </w:pPr>
            <w:r w:rsidRPr="00CD35D2">
              <w:rPr>
                <w:rFonts w:ascii="Arial Narrow" w:hAnsi="Arial Narrow" w:cs="Arial"/>
                <w:b/>
                <w:color w:val="555555"/>
              </w:rPr>
              <w:t>1c.25</w:t>
            </w:r>
            <w:r w:rsidRPr="00CD35D2">
              <w:rPr>
                <w:rFonts w:ascii="Arial Narrow" w:hAnsi="Arial Narrow" w:cs="Arial"/>
                <w:b/>
              </w:rPr>
              <w:t xml:space="preserve"> </w:t>
            </w:r>
            <w:r w:rsidRPr="008C31F4">
              <w:rPr>
                <w:rFonts w:ascii="Arial Narrow" w:hAnsi="Arial Narrow" w:cs="Arial"/>
              </w:rPr>
              <w:t>Quantity:</w:t>
            </w:r>
            <w:r w:rsidRPr="00CD35D2">
              <w:rPr>
                <w:rFonts w:ascii="Arial Narrow" w:hAnsi="Arial Narrow" w:cs="Arial"/>
                <w:b/>
              </w:rPr>
              <w:t xml:space="preserve"> </w:t>
            </w:r>
            <w:r w:rsidRPr="008E56AA">
              <w:rPr>
                <w:rFonts w:ascii="Arial Narrow" w:hAnsi="Arial Narrow" w:cs="Arial"/>
                <w:color w:val="0000FF"/>
              </w:rPr>
              <w:t>Moderate</w:t>
            </w:r>
            <w:r w:rsidRPr="00CD35D2">
              <w:rPr>
                <w:rFonts w:ascii="Arial Narrow" w:hAnsi="Arial Narrow" w:cs="Arial"/>
                <w:b/>
              </w:rPr>
              <w:t xml:space="preserve">    </w:t>
            </w:r>
            <w:r w:rsidRPr="00CD35D2">
              <w:rPr>
                <w:rFonts w:ascii="Arial Narrow" w:hAnsi="Arial Narrow" w:cs="Arial"/>
                <w:b/>
                <w:color w:val="555555"/>
              </w:rPr>
              <w:t>1c.26</w:t>
            </w:r>
            <w:r w:rsidRPr="00CD35D2">
              <w:rPr>
                <w:rFonts w:ascii="Arial Narrow" w:hAnsi="Arial Narrow" w:cs="Arial"/>
                <w:b/>
              </w:rPr>
              <w:t xml:space="preserve"> </w:t>
            </w:r>
            <w:r w:rsidRPr="008C31F4">
              <w:rPr>
                <w:rFonts w:ascii="Arial Narrow" w:hAnsi="Arial Narrow" w:cs="Arial"/>
              </w:rPr>
              <w:t>Quality:</w:t>
            </w:r>
            <w:r w:rsidRPr="00CD35D2">
              <w:rPr>
                <w:rFonts w:ascii="Arial Narrow" w:hAnsi="Arial Narrow" w:cs="Arial"/>
                <w:b/>
              </w:rPr>
              <w:t xml:space="preserve"> </w:t>
            </w:r>
            <w:r>
              <w:rPr>
                <w:rFonts w:ascii="Arial Narrow" w:hAnsi="Arial Narrow" w:cs="Arial"/>
                <w:color w:val="0000FF"/>
              </w:rPr>
              <w:t>Moderate</w:t>
            </w:r>
            <w:r w:rsidRPr="00CD35D2">
              <w:rPr>
                <w:rFonts w:ascii="Arial Narrow" w:hAnsi="Arial Narrow" w:cs="Arial"/>
                <w:b/>
                <w:color w:val="555555"/>
              </w:rPr>
              <w:t>1c.27</w:t>
            </w:r>
            <w:r w:rsidRPr="00CD35D2">
              <w:rPr>
                <w:rFonts w:ascii="Arial Narrow" w:hAnsi="Arial Narrow" w:cs="Arial"/>
                <w:b/>
              </w:rPr>
              <w:t xml:space="preserve"> </w:t>
            </w:r>
            <w:r w:rsidRPr="008C31F4">
              <w:rPr>
                <w:rFonts w:ascii="Arial Narrow" w:hAnsi="Arial Narrow" w:cs="Arial"/>
              </w:rPr>
              <w:t>Consistency</w:t>
            </w:r>
            <w:r w:rsidRPr="008C31F4">
              <w:rPr>
                <w:rFonts w:ascii="Arial Narrow" w:hAnsi="Arial Narrow" w:cs="Arial"/>
                <w:b/>
              </w:rPr>
              <w:t>:</w:t>
            </w:r>
            <w:r w:rsidRPr="00CD35D2">
              <w:rPr>
                <w:rFonts w:ascii="Arial Narrow" w:hAnsi="Arial Narrow" w:cs="Arial"/>
                <w:b/>
              </w:rPr>
              <w:t xml:space="preserve">  </w:t>
            </w:r>
            <w:r w:rsidRPr="008E56AA">
              <w:rPr>
                <w:rFonts w:ascii="Arial Narrow" w:hAnsi="Arial Narrow" w:cs="Arial"/>
                <w:color w:val="0000FF"/>
              </w:rPr>
              <w:t>Moderate</w:t>
            </w:r>
            <w:r w:rsidRPr="00CD35D2">
              <w:rPr>
                <w:rFonts w:ascii="Arial Narrow" w:hAnsi="Arial Narrow" w:cs="Arial"/>
                <w:b/>
              </w:rPr>
              <w:t xml:space="preserve">   </w:t>
            </w:r>
          </w:p>
          <w:p w:rsidR="0003281F" w:rsidRPr="00027BA8" w:rsidRDefault="0003281F" w:rsidP="0003281F">
            <w:pPr>
              <w:rPr>
                <w:rFonts w:ascii="Arial Narrow" w:hAnsi="Arial Narrow" w:cs="Arial"/>
                <w:color w:val="0000FF"/>
              </w:rPr>
            </w:pPr>
          </w:p>
        </w:tc>
      </w:tr>
    </w:tbl>
    <w:p w:rsidR="0003281F" w:rsidRPr="00CD35D2" w:rsidRDefault="0003281F" w:rsidP="0003281F">
      <w:pPr>
        <w:rPr>
          <w:rFonts w:ascii="Arial Narrow" w:hAnsi="Arial Narrow" w:cs="Arial"/>
        </w:rPr>
      </w:pPr>
    </w:p>
    <w:p w:rsidR="0003281F" w:rsidRPr="00CD35D2" w:rsidRDefault="0003281F" w:rsidP="0003281F">
      <w:pPr>
        <w:rPr>
          <w:rFonts w:ascii="Arial Narrow" w:hAnsi="Arial Narrow" w:cs="Arial"/>
        </w:rPr>
      </w:pPr>
    </w:p>
    <w:p w:rsidR="0003281F" w:rsidRPr="00CD35D2" w:rsidRDefault="0003281F" w:rsidP="0003281F">
      <w:pPr>
        <w:rPr>
          <w:rFonts w:ascii="Arial Narrow" w:hAnsi="Arial Narrow" w:cs="Arial"/>
        </w:rPr>
      </w:pPr>
    </w:p>
    <w:p w:rsidR="0003281F" w:rsidRPr="00CD35D2" w:rsidRDefault="0003281F" w:rsidP="0003281F">
      <w:pPr>
        <w:rPr>
          <w:rFonts w:ascii="Arial Narrow" w:hAnsi="Arial Narrow" w:cs="Arial"/>
        </w:rPr>
      </w:pPr>
    </w:p>
    <w:p w:rsidR="0003281F" w:rsidRPr="00CD35D2" w:rsidRDefault="0003281F" w:rsidP="0003281F">
      <w:pPr>
        <w:rPr>
          <w:rFonts w:ascii="Arial Narrow" w:hAnsi="Arial Narrow" w:cs="Arial"/>
        </w:rPr>
      </w:pPr>
    </w:p>
    <w:p w:rsidR="0003281F" w:rsidRDefault="0003281F" w:rsidP="0003281F"/>
    <w:p w:rsidR="0003281F" w:rsidRDefault="0003281F"/>
    <w:p w:rsidR="0003281F" w:rsidRDefault="0003281F" w:rsidP="0003281F">
      <w:pPr>
        <w:rPr>
          <w:rFonts w:ascii="Trebuchet MS" w:hAnsi="Trebuchet MS"/>
          <w:sz w:val="20"/>
          <w:szCs w:val="20"/>
        </w:rPr>
      </w:pPr>
    </w:p>
    <w:p w:rsidR="0003281F" w:rsidRDefault="0003281F" w:rsidP="0003281F"/>
    <w:sectPr w:rsidR="0003281F" w:rsidSect="0003281F">
      <w:headerReference w:type="default" r:id="rId12"/>
      <w:footerReference w:type="default" r:id="rId13"/>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81F" w:rsidRDefault="0003281F">
      <w:r>
        <w:separator/>
      </w:r>
    </w:p>
  </w:endnote>
  <w:endnote w:type="continuationSeparator" w:id="0">
    <w:p w:rsidR="0003281F" w:rsidRDefault="0003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81F" w:rsidRDefault="0003281F" w:rsidP="0003281F">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rsidR="0003281F" w:rsidRPr="00DA1331" w:rsidRDefault="0003281F" w:rsidP="0003281F">
    <w:pPr>
      <w:pStyle w:val="Footer"/>
      <w:jc w:val="both"/>
      <w:rPr>
        <w:rFonts w:ascii="Arial Narrow" w:hAnsi="Arial Narrow" w:cs="Arial"/>
        <w:lang w:val="en-US"/>
      </w:rPr>
    </w:pPr>
    <w:r w:rsidRPr="00EC7DA6">
      <w:rPr>
        <w:rFonts w:ascii="Arial Narrow" w:hAnsi="Arial Narrow"/>
        <w:iCs/>
      </w:rPr>
      <w:t>Created on: 07/02/2013 at 12:29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110ED6">
      <w:rPr>
        <w:rFonts w:ascii="Arial" w:hAnsi="Arial" w:cs="Arial"/>
        <w:noProof/>
      </w:rPr>
      <w:t>1</w:t>
    </w:r>
    <w:r w:rsidRPr="00CA3305">
      <w:rPr>
        <w:rFonts w:ascii="Arial" w:hAnsi="Arial" w:cs="Arial"/>
      </w:rPr>
      <w:fldChar w:fldCharType="end"/>
    </w:r>
  </w:p>
  <w:p w:rsidR="0003281F" w:rsidRPr="00EC7DA6" w:rsidRDefault="0003281F" w:rsidP="0003281F">
    <w:pPr>
      <w:pStyle w:val="Footer"/>
      <w:rPr>
        <w:rFonts w:ascii="Arial Narrow" w:hAnsi="Arial Narrow" w:cs="Arial"/>
        <w:lang w:val="en-US"/>
      </w:rPr>
    </w:pPr>
    <w:r>
      <w:rPr>
        <w:rFonts w:ascii="Arial" w:hAnsi="Arial" w:cs="Arial"/>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81F" w:rsidRDefault="0003281F">
      <w:r>
        <w:separator/>
      </w:r>
    </w:p>
  </w:footnote>
  <w:footnote w:type="continuationSeparator" w:id="0">
    <w:p w:rsidR="0003281F" w:rsidRDefault="00032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81F" w:rsidRPr="00C21AC7" w:rsidRDefault="0003281F" w:rsidP="0003281F">
    <w:pPr>
      <w:pStyle w:val="Header"/>
      <w:jc w:val="center"/>
      <w:rPr>
        <w:lang w:val="en-US"/>
      </w:rPr>
    </w:pPr>
    <w:r w:rsidRPr="00492951">
      <w:rPr>
        <w:rFonts w:ascii="Trebuchet MS" w:hAnsi="Trebuchet MS"/>
      </w:rPr>
      <w:t>NQF #</w:t>
    </w:r>
    <w:r w:rsidRPr="00492951">
      <w:rPr>
        <w:rFonts w:ascii="Trebuchet MS" w:hAnsi="Trebuchet MS"/>
        <w:iCs/>
      </w:rPr>
      <w:t>0041 Influenza Immunization</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Jun 17,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7912"/>
    <w:multiLevelType w:val="hybridMultilevel"/>
    <w:tmpl w:val="03B0DC62"/>
    <w:lvl w:ilvl="0" w:tplc="EE665014">
      <w:start w:val="1"/>
      <w:numFmt w:val="bullet"/>
      <w:lvlText w:val=""/>
      <w:lvlJc w:val="left"/>
      <w:pPr>
        <w:tabs>
          <w:tab w:val="num" w:pos="288"/>
        </w:tabs>
        <w:ind w:left="288" w:hanging="288"/>
      </w:pPr>
      <w:rPr>
        <w:rFonts w:ascii="Symbol" w:hAnsi="Symbol" w:hint="default"/>
      </w:rPr>
    </w:lvl>
    <w:lvl w:ilvl="1" w:tplc="680E4338" w:tentative="1">
      <w:start w:val="1"/>
      <w:numFmt w:val="bullet"/>
      <w:lvlText w:val="o"/>
      <w:lvlJc w:val="left"/>
      <w:pPr>
        <w:tabs>
          <w:tab w:val="num" w:pos="1440"/>
        </w:tabs>
        <w:ind w:left="1440" w:hanging="360"/>
      </w:pPr>
      <w:rPr>
        <w:rFonts w:ascii="Courier New" w:hAnsi="Courier New" w:cs="Courier New" w:hint="default"/>
      </w:rPr>
    </w:lvl>
    <w:lvl w:ilvl="2" w:tplc="4DBECACA" w:tentative="1">
      <w:start w:val="1"/>
      <w:numFmt w:val="bullet"/>
      <w:lvlText w:val=""/>
      <w:lvlJc w:val="left"/>
      <w:pPr>
        <w:tabs>
          <w:tab w:val="num" w:pos="2160"/>
        </w:tabs>
        <w:ind w:left="2160" w:hanging="360"/>
      </w:pPr>
      <w:rPr>
        <w:rFonts w:ascii="Wingdings" w:hAnsi="Wingdings" w:hint="default"/>
      </w:rPr>
    </w:lvl>
    <w:lvl w:ilvl="3" w:tplc="5DEEEB50" w:tentative="1">
      <w:start w:val="1"/>
      <w:numFmt w:val="bullet"/>
      <w:lvlText w:val=""/>
      <w:lvlJc w:val="left"/>
      <w:pPr>
        <w:tabs>
          <w:tab w:val="num" w:pos="2880"/>
        </w:tabs>
        <w:ind w:left="2880" w:hanging="360"/>
      </w:pPr>
      <w:rPr>
        <w:rFonts w:ascii="Symbol" w:hAnsi="Symbol" w:hint="default"/>
      </w:rPr>
    </w:lvl>
    <w:lvl w:ilvl="4" w:tplc="08ACEBE6" w:tentative="1">
      <w:start w:val="1"/>
      <w:numFmt w:val="bullet"/>
      <w:lvlText w:val="o"/>
      <w:lvlJc w:val="left"/>
      <w:pPr>
        <w:tabs>
          <w:tab w:val="num" w:pos="3600"/>
        </w:tabs>
        <w:ind w:left="3600" w:hanging="360"/>
      </w:pPr>
      <w:rPr>
        <w:rFonts w:ascii="Courier New" w:hAnsi="Courier New" w:cs="Courier New" w:hint="default"/>
      </w:rPr>
    </w:lvl>
    <w:lvl w:ilvl="5" w:tplc="5F2C9BE0" w:tentative="1">
      <w:start w:val="1"/>
      <w:numFmt w:val="bullet"/>
      <w:lvlText w:val=""/>
      <w:lvlJc w:val="left"/>
      <w:pPr>
        <w:tabs>
          <w:tab w:val="num" w:pos="4320"/>
        </w:tabs>
        <w:ind w:left="4320" w:hanging="360"/>
      </w:pPr>
      <w:rPr>
        <w:rFonts w:ascii="Wingdings" w:hAnsi="Wingdings" w:hint="default"/>
      </w:rPr>
    </w:lvl>
    <w:lvl w:ilvl="6" w:tplc="7D7EC17C" w:tentative="1">
      <w:start w:val="1"/>
      <w:numFmt w:val="bullet"/>
      <w:lvlText w:val=""/>
      <w:lvlJc w:val="left"/>
      <w:pPr>
        <w:tabs>
          <w:tab w:val="num" w:pos="5040"/>
        </w:tabs>
        <w:ind w:left="5040" w:hanging="360"/>
      </w:pPr>
      <w:rPr>
        <w:rFonts w:ascii="Symbol" w:hAnsi="Symbol" w:hint="default"/>
      </w:rPr>
    </w:lvl>
    <w:lvl w:ilvl="7" w:tplc="4CA82EBE" w:tentative="1">
      <w:start w:val="1"/>
      <w:numFmt w:val="bullet"/>
      <w:lvlText w:val="o"/>
      <w:lvlJc w:val="left"/>
      <w:pPr>
        <w:tabs>
          <w:tab w:val="num" w:pos="5760"/>
        </w:tabs>
        <w:ind w:left="5760" w:hanging="360"/>
      </w:pPr>
      <w:rPr>
        <w:rFonts w:ascii="Courier New" w:hAnsi="Courier New" w:cs="Courier New" w:hint="default"/>
      </w:rPr>
    </w:lvl>
    <w:lvl w:ilvl="8" w:tplc="8A7E6496" w:tentative="1">
      <w:start w:val="1"/>
      <w:numFmt w:val="bullet"/>
      <w:lvlText w:val=""/>
      <w:lvlJc w:val="left"/>
      <w:pPr>
        <w:tabs>
          <w:tab w:val="num" w:pos="6480"/>
        </w:tabs>
        <w:ind w:left="6480" w:hanging="360"/>
      </w:pPr>
      <w:rPr>
        <w:rFonts w:ascii="Wingdings" w:hAnsi="Wingdings" w:hint="default"/>
      </w:rPr>
    </w:lvl>
  </w:abstractNum>
  <w:abstractNum w:abstractNumId="1">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E8A0660"/>
    <w:multiLevelType w:val="hybridMultilevel"/>
    <w:tmpl w:val="6D42D726"/>
    <w:lvl w:ilvl="0" w:tplc="07A0C454">
      <w:start w:val="1"/>
      <w:numFmt w:val="bullet"/>
      <w:lvlText w:val=""/>
      <w:lvlJc w:val="left"/>
      <w:pPr>
        <w:tabs>
          <w:tab w:val="num" w:pos="720"/>
        </w:tabs>
        <w:ind w:left="720" w:hanging="720"/>
      </w:pPr>
      <w:rPr>
        <w:rFonts w:ascii="Symbol" w:hAnsi="Symbol" w:hint="default"/>
      </w:rPr>
    </w:lvl>
    <w:lvl w:ilvl="1" w:tplc="4FB08AAE" w:tentative="1">
      <w:start w:val="1"/>
      <w:numFmt w:val="bullet"/>
      <w:lvlText w:val="o"/>
      <w:lvlJc w:val="left"/>
      <w:pPr>
        <w:tabs>
          <w:tab w:val="num" w:pos="1440"/>
        </w:tabs>
        <w:ind w:left="1440" w:hanging="360"/>
      </w:pPr>
      <w:rPr>
        <w:rFonts w:ascii="Courier New" w:hAnsi="Courier New" w:cs="Courier New" w:hint="default"/>
      </w:rPr>
    </w:lvl>
    <w:lvl w:ilvl="2" w:tplc="C5586276" w:tentative="1">
      <w:start w:val="1"/>
      <w:numFmt w:val="bullet"/>
      <w:lvlText w:val=""/>
      <w:lvlJc w:val="left"/>
      <w:pPr>
        <w:tabs>
          <w:tab w:val="num" w:pos="2160"/>
        </w:tabs>
        <w:ind w:left="2160" w:hanging="360"/>
      </w:pPr>
      <w:rPr>
        <w:rFonts w:ascii="Wingdings" w:hAnsi="Wingdings" w:hint="default"/>
      </w:rPr>
    </w:lvl>
    <w:lvl w:ilvl="3" w:tplc="AB3A7638" w:tentative="1">
      <w:start w:val="1"/>
      <w:numFmt w:val="bullet"/>
      <w:lvlText w:val=""/>
      <w:lvlJc w:val="left"/>
      <w:pPr>
        <w:tabs>
          <w:tab w:val="num" w:pos="2880"/>
        </w:tabs>
        <w:ind w:left="2880" w:hanging="360"/>
      </w:pPr>
      <w:rPr>
        <w:rFonts w:ascii="Symbol" w:hAnsi="Symbol" w:hint="default"/>
      </w:rPr>
    </w:lvl>
    <w:lvl w:ilvl="4" w:tplc="B8064758" w:tentative="1">
      <w:start w:val="1"/>
      <w:numFmt w:val="bullet"/>
      <w:lvlText w:val="o"/>
      <w:lvlJc w:val="left"/>
      <w:pPr>
        <w:tabs>
          <w:tab w:val="num" w:pos="3600"/>
        </w:tabs>
        <w:ind w:left="3600" w:hanging="360"/>
      </w:pPr>
      <w:rPr>
        <w:rFonts w:ascii="Courier New" w:hAnsi="Courier New" w:cs="Courier New" w:hint="default"/>
      </w:rPr>
    </w:lvl>
    <w:lvl w:ilvl="5" w:tplc="71D8015A" w:tentative="1">
      <w:start w:val="1"/>
      <w:numFmt w:val="bullet"/>
      <w:lvlText w:val=""/>
      <w:lvlJc w:val="left"/>
      <w:pPr>
        <w:tabs>
          <w:tab w:val="num" w:pos="4320"/>
        </w:tabs>
        <w:ind w:left="4320" w:hanging="360"/>
      </w:pPr>
      <w:rPr>
        <w:rFonts w:ascii="Wingdings" w:hAnsi="Wingdings" w:hint="default"/>
      </w:rPr>
    </w:lvl>
    <w:lvl w:ilvl="6" w:tplc="21865240" w:tentative="1">
      <w:start w:val="1"/>
      <w:numFmt w:val="bullet"/>
      <w:lvlText w:val=""/>
      <w:lvlJc w:val="left"/>
      <w:pPr>
        <w:tabs>
          <w:tab w:val="num" w:pos="5040"/>
        </w:tabs>
        <w:ind w:left="5040" w:hanging="360"/>
      </w:pPr>
      <w:rPr>
        <w:rFonts w:ascii="Symbol" w:hAnsi="Symbol" w:hint="default"/>
      </w:rPr>
    </w:lvl>
    <w:lvl w:ilvl="7" w:tplc="D8167FCA" w:tentative="1">
      <w:start w:val="1"/>
      <w:numFmt w:val="bullet"/>
      <w:lvlText w:val="o"/>
      <w:lvlJc w:val="left"/>
      <w:pPr>
        <w:tabs>
          <w:tab w:val="num" w:pos="5760"/>
        </w:tabs>
        <w:ind w:left="5760" w:hanging="360"/>
      </w:pPr>
      <w:rPr>
        <w:rFonts w:ascii="Courier New" w:hAnsi="Courier New" w:cs="Courier New" w:hint="default"/>
      </w:rPr>
    </w:lvl>
    <w:lvl w:ilvl="8" w:tplc="DD6E6880" w:tentative="1">
      <w:start w:val="1"/>
      <w:numFmt w:val="bullet"/>
      <w:lvlText w:val=""/>
      <w:lvlJc w:val="left"/>
      <w:pPr>
        <w:tabs>
          <w:tab w:val="num" w:pos="6480"/>
        </w:tabs>
        <w:ind w:left="6480" w:hanging="360"/>
      </w:pPr>
      <w:rPr>
        <w:rFonts w:ascii="Wingdings" w:hAnsi="Wingdings" w:hint="default"/>
      </w:rPr>
    </w:lvl>
  </w:abstractNum>
  <w:abstractNum w:abstractNumId="3">
    <w:nsid w:val="11BF05ED"/>
    <w:multiLevelType w:val="hybridMultilevel"/>
    <w:tmpl w:val="2E340C5C"/>
    <w:lvl w:ilvl="0" w:tplc="F516D130">
      <w:start w:val="1"/>
      <w:numFmt w:val="bullet"/>
      <w:lvlText w:val=""/>
      <w:lvlJc w:val="left"/>
      <w:pPr>
        <w:tabs>
          <w:tab w:val="num" w:pos="72"/>
        </w:tabs>
        <w:ind w:left="216" w:hanging="216"/>
      </w:pPr>
      <w:rPr>
        <w:rFonts w:ascii="Wingdings" w:hAnsi="Wingdings" w:hint="default"/>
      </w:rPr>
    </w:lvl>
    <w:lvl w:ilvl="1" w:tplc="BBCC332A" w:tentative="1">
      <w:start w:val="1"/>
      <w:numFmt w:val="bullet"/>
      <w:lvlText w:val="o"/>
      <w:lvlJc w:val="left"/>
      <w:pPr>
        <w:tabs>
          <w:tab w:val="num" w:pos="1440"/>
        </w:tabs>
        <w:ind w:left="1440" w:hanging="360"/>
      </w:pPr>
      <w:rPr>
        <w:rFonts w:ascii="Courier New" w:hAnsi="Courier New" w:cs="Courier New" w:hint="default"/>
      </w:rPr>
    </w:lvl>
    <w:lvl w:ilvl="2" w:tplc="4922047A" w:tentative="1">
      <w:start w:val="1"/>
      <w:numFmt w:val="bullet"/>
      <w:lvlText w:val=""/>
      <w:lvlJc w:val="left"/>
      <w:pPr>
        <w:tabs>
          <w:tab w:val="num" w:pos="2160"/>
        </w:tabs>
        <w:ind w:left="2160" w:hanging="360"/>
      </w:pPr>
      <w:rPr>
        <w:rFonts w:ascii="Wingdings" w:hAnsi="Wingdings" w:hint="default"/>
      </w:rPr>
    </w:lvl>
    <w:lvl w:ilvl="3" w:tplc="1B4CB168" w:tentative="1">
      <w:start w:val="1"/>
      <w:numFmt w:val="bullet"/>
      <w:lvlText w:val=""/>
      <w:lvlJc w:val="left"/>
      <w:pPr>
        <w:tabs>
          <w:tab w:val="num" w:pos="2880"/>
        </w:tabs>
        <w:ind w:left="2880" w:hanging="360"/>
      </w:pPr>
      <w:rPr>
        <w:rFonts w:ascii="Symbol" w:hAnsi="Symbol" w:hint="default"/>
      </w:rPr>
    </w:lvl>
    <w:lvl w:ilvl="4" w:tplc="91528B66" w:tentative="1">
      <w:start w:val="1"/>
      <w:numFmt w:val="bullet"/>
      <w:lvlText w:val="o"/>
      <w:lvlJc w:val="left"/>
      <w:pPr>
        <w:tabs>
          <w:tab w:val="num" w:pos="3600"/>
        </w:tabs>
        <w:ind w:left="3600" w:hanging="360"/>
      </w:pPr>
      <w:rPr>
        <w:rFonts w:ascii="Courier New" w:hAnsi="Courier New" w:cs="Courier New" w:hint="default"/>
      </w:rPr>
    </w:lvl>
    <w:lvl w:ilvl="5" w:tplc="4494711C" w:tentative="1">
      <w:start w:val="1"/>
      <w:numFmt w:val="bullet"/>
      <w:lvlText w:val=""/>
      <w:lvlJc w:val="left"/>
      <w:pPr>
        <w:tabs>
          <w:tab w:val="num" w:pos="4320"/>
        </w:tabs>
        <w:ind w:left="4320" w:hanging="360"/>
      </w:pPr>
      <w:rPr>
        <w:rFonts w:ascii="Wingdings" w:hAnsi="Wingdings" w:hint="default"/>
      </w:rPr>
    </w:lvl>
    <w:lvl w:ilvl="6" w:tplc="A3F438AE" w:tentative="1">
      <w:start w:val="1"/>
      <w:numFmt w:val="bullet"/>
      <w:lvlText w:val=""/>
      <w:lvlJc w:val="left"/>
      <w:pPr>
        <w:tabs>
          <w:tab w:val="num" w:pos="5040"/>
        </w:tabs>
        <w:ind w:left="5040" w:hanging="360"/>
      </w:pPr>
      <w:rPr>
        <w:rFonts w:ascii="Symbol" w:hAnsi="Symbol" w:hint="default"/>
      </w:rPr>
    </w:lvl>
    <w:lvl w:ilvl="7" w:tplc="BB647728" w:tentative="1">
      <w:start w:val="1"/>
      <w:numFmt w:val="bullet"/>
      <w:lvlText w:val="o"/>
      <w:lvlJc w:val="left"/>
      <w:pPr>
        <w:tabs>
          <w:tab w:val="num" w:pos="5760"/>
        </w:tabs>
        <w:ind w:left="5760" w:hanging="360"/>
      </w:pPr>
      <w:rPr>
        <w:rFonts w:ascii="Courier New" w:hAnsi="Courier New" w:cs="Courier New" w:hint="default"/>
      </w:rPr>
    </w:lvl>
    <w:lvl w:ilvl="8" w:tplc="B78297AC" w:tentative="1">
      <w:start w:val="1"/>
      <w:numFmt w:val="bullet"/>
      <w:lvlText w:val=""/>
      <w:lvlJc w:val="left"/>
      <w:pPr>
        <w:tabs>
          <w:tab w:val="num" w:pos="6480"/>
        </w:tabs>
        <w:ind w:left="6480" w:hanging="360"/>
      </w:pPr>
      <w:rPr>
        <w:rFonts w:ascii="Wingdings" w:hAnsi="Wingdings" w:hint="default"/>
      </w:rPr>
    </w:lvl>
  </w:abstractNum>
  <w:abstractNum w:abstractNumId="4">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5D72058"/>
    <w:multiLevelType w:val="hybridMultilevel"/>
    <w:tmpl w:val="1F10185E"/>
    <w:lvl w:ilvl="0" w:tplc="A0A67442">
      <w:start w:val="1"/>
      <w:numFmt w:val="upperLetter"/>
      <w:lvlText w:val="%1."/>
      <w:lvlJc w:val="left"/>
      <w:pPr>
        <w:tabs>
          <w:tab w:val="num" w:pos="360"/>
        </w:tabs>
        <w:ind w:left="360" w:hanging="360"/>
      </w:pPr>
      <w:rPr>
        <w:rFonts w:ascii="Book Antiqua" w:hAnsi="Book Antiqua" w:hint="default"/>
        <w:b/>
        <w:color w:val="auto"/>
      </w:rPr>
    </w:lvl>
    <w:lvl w:ilvl="1" w:tplc="751059FA" w:tentative="1">
      <w:start w:val="1"/>
      <w:numFmt w:val="lowerLetter"/>
      <w:lvlText w:val="%2."/>
      <w:lvlJc w:val="left"/>
      <w:pPr>
        <w:tabs>
          <w:tab w:val="num" w:pos="1080"/>
        </w:tabs>
        <w:ind w:left="1080" w:hanging="360"/>
      </w:pPr>
    </w:lvl>
    <w:lvl w:ilvl="2" w:tplc="49965BAA" w:tentative="1">
      <w:start w:val="1"/>
      <w:numFmt w:val="lowerRoman"/>
      <w:lvlText w:val="%3."/>
      <w:lvlJc w:val="right"/>
      <w:pPr>
        <w:tabs>
          <w:tab w:val="num" w:pos="1800"/>
        </w:tabs>
        <w:ind w:left="1800" w:hanging="180"/>
      </w:pPr>
    </w:lvl>
    <w:lvl w:ilvl="3" w:tplc="1B060928" w:tentative="1">
      <w:start w:val="1"/>
      <w:numFmt w:val="decimal"/>
      <w:lvlText w:val="%4."/>
      <w:lvlJc w:val="left"/>
      <w:pPr>
        <w:tabs>
          <w:tab w:val="num" w:pos="2520"/>
        </w:tabs>
        <w:ind w:left="2520" w:hanging="360"/>
      </w:pPr>
    </w:lvl>
    <w:lvl w:ilvl="4" w:tplc="8326AA74" w:tentative="1">
      <w:start w:val="1"/>
      <w:numFmt w:val="lowerLetter"/>
      <w:lvlText w:val="%5."/>
      <w:lvlJc w:val="left"/>
      <w:pPr>
        <w:tabs>
          <w:tab w:val="num" w:pos="3240"/>
        </w:tabs>
        <w:ind w:left="3240" w:hanging="360"/>
      </w:pPr>
    </w:lvl>
    <w:lvl w:ilvl="5" w:tplc="9D0C8160" w:tentative="1">
      <w:start w:val="1"/>
      <w:numFmt w:val="lowerRoman"/>
      <w:lvlText w:val="%6."/>
      <w:lvlJc w:val="right"/>
      <w:pPr>
        <w:tabs>
          <w:tab w:val="num" w:pos="3960"/>
        </w:tabs>
        <w:ind w:left="3960" w:hanging="180"/>
      </w:pPr>
    </w:lvl>
    <w:lvl w:ilvl="6" w:tplc="D3E69BD2" w:tentative="1">
      <w:start w:val="1"/>
      <w:numFmt w:val="decimal"/>
      <w:lvlText w:val="%7."/>
      <w:lvlJc w:val="left"/>
      <w:pPr>
        <w:tabs>
          <w:tab w:val="num" w:pos="4680"/>
        </w:tabs>
        <w:ind w:left="4680" w:hanging="360"/>
      </w:pPr>
    </w:lvl>
    <w:lvl w:ilvl="7" w:tplc="517C9866" w:tentative="1">
      <w:start w:val="1"/>
      <w:numFmt w:val="lowerLetter"/>
      <w:lvlText w:val="%8."/>
      <w:lvlJc w:val="left"/>
      <w:pPr>
        <w:tabs>
          <w:tab w:val="num" w:pos="5400"/>
        </w:tabs>
        <w:ind w:left="5400" w:hanging="360"/>
      </w:pPr>
    </w:lvl>
    <w:lvl w:ilvl="8" w:tplc="30ACB8AE" w:tentative="1">
      <w:start w:val="1"/>
      <w:numFmt w:val="lowerRoman"/>
      <w:lvlText w:val="%9."/>
      <w:lvlJc w:val="right"/>
      <w:pPr>
        <w:tabs>
          <w:tab w:val="num" w:pos="6120"/>
        </w:tabs>
        <w:ind w:left="6120" w:hanging="180"/>
      </w:pPr>
    </w:lvl>
  </w:abstractNum>
  <w:abstractNum w:abstractNumId="6">
    <w:nsid w:val="19FA4B9D"/>
    <w:multiLevelType w:val="hybridMultilevel"/>
    <w:tmpl w:val="F0F4848C"/>
    <w:lvl w:ilvl="0" w:tplc="015C7276">
      <w:start w:val="1"/>
      <w:numFmt w:val="bullet"/>
      <w:lvlText w:val=""/>
      <w:lvlJc w:val="left"/>
      <w:pPr>
        <w:tabs>
          <w:tab w:val="num" w:pos="144"/>
        </w:tabs>
        <w:ind w:left="288" w:hanging="288"/>
      </w:pPr>
      <w:rPr>
        <w:rFonts w:ascii="Wingdings" w:hAnsi="Wingdings" w:hint="default"/>
      </w:rPr>
    </w:lvl>
    <w:lvl w:ilvl="1" w:tplc="88A0FF7A" w:tentative="1">
      <w:start w:val="1"/>
      <w:numFmt w:val="bullet"/>
      <w:lvlText w:val="o"/>
      <w:lvlJc w:val="left"/>
      <w:pPr>
        <w:tabs>
          <w:tab w:val="num" w:pos="1440"/>
        </w:tabs>
        <w:ind w:left="1440" w:hanging="360"/>
      </w:pPr>
      <w:rPr>
        <w:rFonts w:ascii="Courier New" w:hAnsi="Courier New" w:cs="Courier New" w:hint="default"/>
      </w:rPr>
    </w:lvl>
    <w:lvl w:ilvl="2" w:tplc="80827BB8" w:tentative="1">
      <w:start w:val="1"/>
      <w:numFmt w:val="bullet"/>
      <w:lvlText w:val=""/>
      <w:lvlJc w:val="left"/>
      <w:pPr>
        <w:tabs>
          <w:tab w:val="num" w:pos="2160"/>
        </w:tabs>
        <w:ind w:left="2160" w:hanging="360"/>
      </w:pPr>
      <w:rPr>
        <w:rFonts w:ascii="Wingdings" w:hAnsi="Wingdings" w:hint="default"/>
      </w:rPr>
    </w:lvl>
    <w:lvl w:ilvl="3" w:tplc="AF96B194" w:tentative="1">
      <w:start w:val="1"/>
      <w:numFmt w:val="bullet"/>
      <w:lvlText w:val=""/>
      <w:lvlJc w:val="left"/>
      <w:pPr>
        <w:tabs>
          <w:tab w:val="num" w:pos="2880"/>
        </w:tabs>
        <w:ind w:left="2880" w:hanging="360"/>
      </w:pPr>
      <w:rPr>
        <w:rFonts w:ascii="Symbol" w:hAnsi="Symbol" w:hint="default"/>
      </w:rPr>
    </w:lvl>
    <w:lvl w:ilvl="4" w:tplc="0ED8DF3E" w:tentative="1">
      <w:start w:val="1"/>
      <w:numFmt w:val="bullet"/>
      <w:lvlText w:val="o"/>
      <w:lvlJc w:val="left"/>
      <w:pPr>
        <w:tabs>
          <w:tab w:val="num" w:pos="3600"/>
        </w:tabs>
        <w:ind w:left="3600" w:hanging="360"/>
      </w:pPr>
      <w:rPr>
        <w:rFonts w:ascii="Courier New" w:hAnsi="Courier New" w:cs="Courier New" w:hint="default"/>
      </w:rPr>
    </w:lvl>
    <w:lvl w:ilvl="5" w:tplc="0E1EE4D8" w:tentative="1">
      <w:start w:val="1"/>
      <w:numFmt w:val="bullet"/>
      <w:lvlText w:val=""/>
      <w:lvlJc w:val="left"/>
      <w:pPr>
        <w:tabs>
          <w:tab w:val="num" w:pos="4320"/>
        </w:tabs>
        <w:ind w:left="4320" w:hanging="360"/>
      </w:pPr>
      <w:rPr>
        <w:rFonts w:ascii="Wingdings" w:hAnsi="Wingdings" w:hint="default"/>
      </w:rPr>
    </w:lvl>
    <w:lvl w:ilvl="6" w:tplc="D6E24840" w:tentative="1">
      <w:start w:val="1"/>
      <w:numFmt w:val="bullet"/>
      <w:lvlText w:val=""/>
      <w:lvlJc w:val="left"/>
      <w:pPr>
        <w:tabs>
          <w:tab w:val="num" w:pos="5040"/>
        </w:tabs>
        <w:ind w:left="5040" w:hanging="360"/>
      </w:pPr>
      <w:rPr>
        <w:rFonts w:ascii="Symbol" w:hAnsi="Symbol" w:hint="default"/>
      </w:rPr>
    </w:lvl>
    <w:lvl w:ilvl="7" w:tplc="1DF0D5CE" w:tentative="1">
      <w:start w:val="1"/>
      <w:numFmt w:val="bullet"/>
      <w:lvlText w:val="o"/>
      <w:lvlJc w:val="left"/>
      <w:pPr>
        <w:tabs>
          <w:tab w:val="num" w:pos="5760"/>
        </w:tabs>
        <w:ind w:left="5760" w:hanging="360"/>
      </w:pPr>
      <w:rPr>
        <w:rFonts w:ascii="Courier New" w:hAnsi="Courier New" w:cs="Courier New" w:hint="default"/>
      </w:rPr>
    </w:lvl>
    <w:lvl w:ilvl="8" w:tplc="DE200602" w:tentative="1">
      <w:start w:val="1"/>
      <w:numFmt w:val="bullet"/>
      <w:lvlText w:val=""/>
      <w:lvlJc w:val="left"/>
      <w:pPr>
        <w:tabs>
          <w:tab w:val="num" w:pos="6480"/>
        </w:tabs>
        <w:ind w:left="6480" w:hanging="360"/>
      </w:pPr>
      <w:rPr>
        <w:rFonts w:ascii="Wingdings" w:hAnsi="Wingdings" w:hint="default"/>
      </w:rPr>
    </w:lvl>
  </w:abstractNum>
  <w:abstractNum w:abstractNumId="7">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2180A5B"/>
    <w:multiLevelType w:val="hybridMultilevel"/>
    <w:tmpl w:val="DE4E0CF8"/>
    <w:lvl w:ilvl="0" w:tplc="349C8D2C">
      <w:start w:val="1"/>
      <w:numFmt w:val="bullet"/>
      <w:lvlText w:val=""/>
      <w:lvlJc w:val="left"/>
      <w:pPr>
        <w:tabs>
          <w:tab w:val="num" w:pos="216"/>
        </w:tabs>
        <w:ind w:left="360" w:hanging="216"/>
      </w:pPr>
      <w:rPr>
        <w:rFonts w:ascii="Symbol" w:hAnsi="Symbol" w:hint="default"/>
      </w:rPr>
    </w:lvl>
    <w:lvl w:ilvl="1" w:tplc="5134CC14">
      <w:start w:val="1"/>
      <w:numFmt w:val="bullet"/>
      <w:lvlText w:val=""/>
      <w:lvlJc w:val="left"/>
      <w:pPr>
        <w:tabs>
          <w:tab w:val="num" w:pos="1440"/>
        </w:tabs>
        <w:ind w:left="1440" w:hanging="360"/>
      </w:pPr>
      <w:rPr>
        <w:rFonts w:ascii="Symbol" w:hAnsi="Symbol" w:hint="default"/>
      </w:rPr>
    </w:lvl>
    <w:lvl w:ilvl="2" w:tplc="CC64BC6A" w:tentative="1">
      <w:start w:val="1"/>
      <w:numFmt w:val="bullet"/>
      <w:lvlText w:val=""/>
      <w:lvlJc w:val="left"/>
      <w:pPr>
        <w:tabs>
          <w:tab w:val="num" w:pos="2160"/>
        </w:tabs>
        <w:ind w:left="2160" w:hanging="360"/>
      </w:pPr>
      <w:rPr>
        <w:rFonts w:ascii="Wingdings" w:hAnsi="Wingdings" w:hint="default"/>
      </w:rPr>
    </w:lvl>
    <w:lvl w:ilvl="3" w:tplc="C5AE4330" w:tentative="1">
      <w:start w:val="1"/>
      <w:numFmt w:val="bullet"/>
      <w:lvlText w:val=""/>
      <w:lvlJc w:val="left"/>
      <w:pPr>
        <w:tabs>
          <w:tab w:val="num" w:pos="2880"/>
        </w:tabs>
        <w:ind w:left="2880" w:hanging="360"/>
      </w:pPr>
      <w:rPr>
        <w:rFonts w:ascii="Symbol" w:hAnsi="Symbol" w:hint="default"/>
      </w:rPr>
    </w:lvl>
    <w:lvl w:ilvl="4" w:tplc="0292FCF6" w:tentative="1">
      <w:start w:val="1"/>
      <w:numFmt w:val="bullet"/>
      <w:lvlText w:val="o"/>
      <w:lvlJc w:val="left"/>
      <w:pPr>
        <w:tabs>
          <w:tab w:val="num" w:pos="3600"/>
        </w:tabs>
        <w:ind w:left="3600" w:hanging="360"/>
      </w:pPr>
      <w:rPr>
        <w:rFonts w:ascii="Courier New" w:hAnsi="Courier New" w:cs="Courier New" w:hint="default"/>
      </w:rPr>
    </w:lvl>
    <w:lvl w:ilvl="5" w:tplc="1536306C" w:tentative="1">
      <w:start w:val="1"/>
      <w:numFmt w:val="bullet"/>
      <w:lvlText w:val=""/>
      <w:lvlJc w:val="left"/>
      <w:pPr>
        <w:tabs>
          <w:tab w:val="num" w:pos="4320"/>
        </w:tabs>
        <w:ind w:left="4320" w:hanging="360"/>
      </w:pPr>
      <w:rPr>
        <w:rFonts w:ascii="Wingdings" w:hAnsi="Wingdings" w:hint="default"/>
      </w:rPr>
    </w:lvl>
    <w:lvl w:ilvl="6" w:tplc="EE9A53A2" w:tentative="1">
      <w:start w:val="1"/>
      <w:numFmt w:val="bullet"/>
      <w:lvlText w:val=""/>
      <w:lvlJc w:val="left"/>
      <w:pPr>
        <w:tabs>
          <w:tab w:val="num" w:pos="5040"/>
        </w:tabs>
        <w:ind w:left="5040" w:hanging="360"/>
      </w:pPr>
      <w:rPr>
        <w:rFonts w:ascii="Symbol" w:hAnsi="Symbol" w:hint="default"/>
      </w:rPr>
    </w:lvl>
    <w:lvl w:ilvl="7" w:tplc="CE10C93C" w:tentative="1">
      <w:start w:val="1"/>
      <w:numFmt w:val="bullet"/>
      <w:lvlText w:val="o"/>
      <w:lvlJc w:val="left"/>
      <w:pPr>
        <w:tabs>
          <w:tab w:val="num" w:pos="5760"/>
        </w:tabs>
        <w:ind w:left="5760" w:hanging="360"/>
      </w:pPr>
      <w:rPr>
        <w:rFonts w:ascii="Courier New" w:hAnsi="Courier New" w:cs="Courier New" w:hint="default"/>
      </w:rPr>
    </w:lvl>
    <w:lvl w:ilvl="8" w:tplc="9B604D76" w:tentative="1">
      <w:start w:val="1"/>
      <w:numFmt w:val="bullet"/>
      <w:lvlText w:val=""/>
      <w:lvlJc w:val="left"/>
      <w:pPr>
        <w:tabs>
          <w:tab w:val="num" w:pos="6480"/>
        </w:tabs>
        <w:ind w:left="6480" w:hanging="360"/>
      </w:pPr>
      <w:rPr>
        <w:rFonts w:ascii="Wingdings" w:hAnsi="Wingdings" w:hint="default"/>
      </w:rPr>
    </w:lvl>
  </w:abstractNum>
  <w:abstractNum w:abstractNumId="9">
    <w:nsid w:val="3A797D9A"/>
    <w:multiLevelType w:val="hybridMultilevel"/>
    <w:tmpl w:val="AEA8F670"/>
    <w:lvl w:ilvl="0" w:tplc="92EAA48C">
      <w:start w:val="1"/>
      <w:numFmt w:val="bullet"/>
      <w:lvlText w:val="o"/>
      <w:lvlJc w:val="left"/>
      <w:pPr>
        <w:tabs>
          <w:tab w:val="num" w:pos="432"/>
        </w:tabs>
        <w:ind w:left="432" w:hanging="216"/>
      </w:pPr>
      <w:rPr>
        <w:rFonts w:ascii="Book Antiqua" w:hAnsi="Book Antiqua" w:hint="default"/>
      </w:rPr>
    </w:lvl>
    <w:lvl w:ilvl="1" w:tplc="0E1E14D0" w:tentative="1">
      <w:start w:val="1"/>
      <w:numFmt w:val="bullet"/>
      <w:lvlText w:val="o"/>
      <w:lvlJc w:val="left"/>
      <w:pPr>
        <w:tabs>
          <w:tab w:val="num" w:pos="864"/>
        </w:tabs>
        <w:ind w:left="864" w:hanging="360"/>
      </w:pPr>
      <w:rPr>
        <w:rFonts w:ascii="Courier New" w:hAnsi="Courier New" w:cs="Courier New" w:hint="default"/>
      </w:rPr>
    </w:lvl>
    <w:lvl w:ilvl="2" w:tplc="CAA80E28" w:tentative="1">
      <w:start w:val="1"/>
      <w:numFmt w:val="bullet"/>
      <w:lvlText w:val=""/>
      <w:lvlJc w:val="left"/>
      <w:pPr>
        <w:tabs>
          <w:tab w:val="num" w:pos="1584"/>
        </w:tabs>
        <w:ind w:left="1584" w:hanging="360"/>
      </w:pPr>
      <w:rPr>
        <w:rFonts w:ascii="Wingdings" w:hAnsi="Wingdings" w:hint="default"/>
      </w:rPr>
    </w:lvl>
    <w:lvl w:ilvl="3" w:tplc="8E502FBE" w:tentative="1">
      <w:start w:val="1"/>
      <w:numFmt w:val="bullet"/>
      <w:lvlText w:val=""/>
      <w:lvlJc w:val="left"/>
      <w:pPr>
        <w:tabs>
          <w:tab w:val="num" w:pos="2304"/>
        </w:tabs>
        <w:ind w:left="2304" w:hanging="360"/>
      </w:pPr>
      <w:rPr>
        <w:rFonts w:ascii="Symbol" w:hAnsi="Symbol" w:hint="default"/>
      </w:rPr>
    </w:lvl>
    <w:lvl w:ilvl="4" w:tplc="D5E692F2" w:tentative="1">
      <w:start w:val="1"/>
      <w:numFmt w:val="bullet"/>
      <w:lvlText w:val="o"/>
      <w:lvlJc w:val="left"/>
      <w:pPr>
        <w:tabs>
          <w:tab w:val="num" w:pos="3024"/>
        </w:tabs>
        <w:ind w:left="3024" w:hanging="360"/>
      </w:pPr>
      <w:rPr>
        <w:rFonts w:ascii="Courier New" w:hAnsi="Courier New" w:cs="Courier New" w:hint="default"/>
      </w:rPr>
    </w:lvl>
    <w:lvl w:ilvl="5" w:tplc="DBAE2414" w:tentative="1">
      <w:start w:val="1"/>
      <w:numFmt w:val="bullet"/>
      <w:lvlText w:val=""/>
      <w:lvlJc w:val="left"/>
      <w:pPr>
        <w:tabs>
          <w:tab w:val="num" w:pos="3744"/>
        </w:tabs>
        <w:ind w:left="3744" w:hanging="360"/>
      </w:pPr>
      <w:rPr>
        <w:rFonts w:ascii="Wingdings" w:hAnsi="Wingdings" w:hint="default"/>
      </w:rPr>
    </w:lvl>
    <w:lvl w:ilvl="6" w:tplc="973A24B2" w:tentative="1">
      <w:start w:val="1"/>
      <w:numFmt w:val="bullet"/>
      <w:lvlText w:val=""/>
      <w:lvlJc w:val="left"/>
      <w:pPr>
        <w:tabs>
          <w:tab w:val="num" w:pos="4464"/>
        </w:tabs>
        <w:ind w:left="4464" w:hanging="360"/>
      </w:pPr>
      <w:rPr>
        <w:rFonts w:ascii="Symbol" w:hAnsi="Symbol" w:hint="default"/>
      </w:rPr>
    </w:lvl>
    <w:lvl w:ilvl="7" w:tplc="4D3C67A4" w:tentative="1">
      <w:start w:val="1"/>
      <w:numFmt w:val="bullet"/>
      <w:lvlText w:val="o"/>
      <w:lvlJc w:val="left"/>
      <w:pPr>
        <w:tabs>
          <w:tab w:val="num" w:pos="5184"/>
        </w:tabs>
        <w:ind w:left="5184" w:hanging="360"/>
      </w:pPr>
      <w:rPr>
        <w:rFonts w:ascii="Courier New" w:hAnsi="Courier New" w:cs="Courier New" w:hint="default"/>
      </w:rPr>
    </w:lvl>
    <w:lvl w:ilvl="8" w:tplc="6C50BA26" w:tentative="1">
      <w:start w:val="1"/>
      <w:numFmt w:val="bullet"/>
      <w:lvlText w:val=""/>
      <w:lvlJc w:val="left"/>
      <w:pPr>
        <w:tabs>
          <w:tab w:val="num" w:pos="5904"/>
        </w:tabs>
        <w:ind w:left="5904" w:hanging="360"/>
      </w:pPr>
      <w:rPr>
        <w:rFonts w:ascii="Wingdings" w:hAnsi="Wingdings" w:hint="default"/>
      </w:rPr>
    </w:lvl>
  </w:abstractNum>
  <w:abstractNum w:abstractNumId="1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6520A53"/>
    <w:multiLevelType w:val="hybridMultilevel"/>
    <w:tmpl w:val="63FAC920"/>
    <w:lvl w:ilvl="0" w:tplc="34B0A34E">
      <w:start w:val="1"/>
      <w:numFmt w:val="bullet"/>
      <w:lvlText w:val=""/>
      <w:lvlJc w:val="left"/>
      <w:pPr>
        <w:tabs>
          <w:tab w:val="num" w:pos="780"/>
        </w:tabs>
        <w:ind w:left="780" w:hanging="360"/>
      </w:pPr>
      <w:rPr>
        <w:rFonts w:ascii="Symbol" w:hAnsi="Symbol" w:cs="Times New Roman" w:hint="default"/>
      </w:rPr>
    </w:lvl>
    <w:lvl w:ilvl="1" w:tplc="78421104">
      <w:start w:val="1"/>
      <w:numFmt w:val="bullet"/>
      <w:lvlText w:val="*"/>
      <w:lvlJc w:val="left"/>
      <w:pPr>
        <w:tabs>
          <w:tab w:val="num" w:pos="1500"/>
        </w:tabs>
        <w:ind w:left="1500" w:hanging="360"/>
      </w:pPr>
      <w:rPr>
        <w:rFonts w:ascii="MS Mincho" w:eastAsia="MS Mincho" w:hAnsi="Wingdings" w:hint="eastAsia"/>
      </w:rPr>
    </w:lvl>
    <w:lvl w:ilvl="2" w:tplc="12280808">
      <w:start w:val="1"/>
      <w:numFmt w:val="bullet"/>
      <w:lvlText w:val=""/>
      <w:lvlJc w:val="left"/>
      <w:pPr>
        <w:tabs>
          <w:tab w:val="num" w:pos="2220"/>
        </w:tabs>
        <w:ind w:left="2220" w:hanging="360"/>
      </w:pPr>
      <w:rPr>
        <w:rFonts w:ascii="Wingdings" w:hAnsi="Wingdings" w:cs="Times New Roman" w:hint="default"/>
      </w:rPr>
    </w:lvl>
    <w:lvl w:ilvl="3" w:tplc="91087B64">
      <w:start w:val="1"/>
      <w:numFmt w:val="bullet"/>
      <w:lvlText w:val=""/>
      <w:lvlJc w:val="left"/>
      <w:pPr>
        <w:tabs>
          <w:tab w:val="num" w:pos="2940"/>
        </w:tabs>
        <w:ind w:left="2940" w:hanging="360"/>
      </w:pPr>
      <w:rPr>
        <w:rFonts w:ascii="Symbol" w:hAnsi="Symbol" w:cs="Times New Roman" w:hint="default"/>
      </w:rPr>
    </w:lvl>
    <w:lvl w:ilvl="4" w:tplc="1ED8A9C0">
      <w:start w:val="1"/>
      <w:numFmt w:val="bullet"/>
      <w:lvlText w:val="o"/>
      <w:lvlJc w:val="left"/>
      <w:pPr>
        <w:tabs>
          <w:tab w:val="num" w:pos="3660"/>
        </w:tabs>
        <w:ind w:left="3660" w:hanging="360"/>
      </w:pPr>
      <w:rPr>
        <w:rFonts w:ascii="Courier New" w:hAnsi="Courier New" w:cs="Courier New" w:hint="default"/>
      </w:rPr>
    </w:lvl>
    <w:lvl w:ilvl="5" w:tplc="C0EA7D56">
      <w:start w:val="1"/>
      <w:numFmt w:val="bullet"/>
      <w:lvlText w:val=""/>
      <w:lvlJc w:val="left"/>
      <w:pPr>
        <w:tabs>
          <w:tab w:val="num" w:pos="4380"/>
        </w:tabs>
        <w:ind w:left="4380" w:hanging="360"/>
      </w:pPr>
      <w:rPr>
        <w:rFonts w:ascii="Wingdings" w:hAnsi="Wingdings" w:cs="Times New Roman" w:hint="default"/>
      </w:rPr>
    </w:lvl>
    <w:lvl w:ilvl="6" w:tplc="B1825998">
      <w:start w:val="1"/>
      <w:numFmt w:val="bullet"/>
      <w:lvlText w:val=""/>
      <w:lvlJc w:val="left"/>
      <w:pPr>
        <w:tabs>
          <w:tab w:val="num" w:pos="5100"/>
        </w:tabs>
        <w:ind w:left="5100" w:hanging="360"/>
      </w:pPr>
      <w:rPr>
        <w:rFonts w:ascii="Symbol" w:hAnsi="Symbol" w:cs="Times New Roman" w:hint="default"/>
      </w:rPr>
    </w:lvl>
    <w:lvl w:ilvl="7" w:tplc="9D32F4F8">
      <w:start w:val="1"/>
      <w:numFmt w:val="bullet"/>
      <w:lvlText w:val="o"/>
      <w:lvlJc w:val="left"/>
      <w:pPr>
        <w:tabs>
          <w:tab w:val="num" w:pos="5820"/>
        </w:tabs>
        <w:ind w:left="5820" w:hanging="360"/>
      </w:pPr>
      <w:rPr>
        <w:rFonts w:ascii="Courier New" w:hAnsi="Courier New" w:cs="Courier New" w:hint="default"/>
      </w:rPr>
    </w:lvl>
    <w:lvl w:ilvl="8" w:tplc="712C4988">
      <w:start w:val="1"/>
      <w:numFmt w:val="bullet"/>
      <w:lvlText w:val=""/>
      <w:lvlJc w:val="left"/>
      <w:pPr>
        <w:tabs>
          <w:tab w:val="num" w:pos="6540"/>
        </w:tabs>
        <w:ind w:left="6540" w:hanging="360"/>
      </w:pPr>
      <w:rPr>
        <w:rFonts w:ascii="Wingdings" w:hAnsi="Wingdings" w:cs="Times New Roman" w:hint="default"/>
      </w:rPr>
    </w:lvl>
  </w:abstractNum>
  <w:abstractNum w:abstractNumId="12">
    <w:nsid w:val="4EEC6FEF"/>
    <w:multiLevelType w:val="hybridMultilevel"/>
    <w:tmpl w:val="C7F0F6AE"/>
    <w:lvl w:ilvl="0" w:tplc="F932A0E0">
      <w:start w:val="1"/>
      <w:numFmt w:val="bullet"/>
      <w:lvlText w:val=""/>
      <w:lvlJc w:val="left"/>
      <w:pPr>
        <w:tabs>
          <w:tab w:val="num" w:pos="0"/>
        </w:tabs>
        <w:ind w:left="144" w:hanging="144"/>
      </w:pPr>
      <w:rPr>
        <w:rFonts w:ascii="Symbol" w:hAnsi="Symbol" w:hint="default"/>
      </w:rPr>
    </w:lvl>
    <w:lvl w:ilvl="1" w:tplc="3B7EAC12" w:tentative="1">
      <w:start w:val="1"/>
      <w:numFmt w:val="bullet"/>
      <w:lvlText w:val="o"/>
      <w:lvlJc w:val="left"/>
      <w:pPr>
        <w:tabs>
          <w:tab w:val="num" w:pos="1440"/>
        </w:tabs>
        <w:ind w:left="1440" w:hanging="360"/>
      </w:pPr>
      <w:rPr>
        <w:rFonts w:ascii="Courier New" w:hAnsi="Courier New" w:cs="Courier New" w:hint="default"/>
      </w:rPr>
    </w:lvl>
    <w:lvl w:ilvl="2" w:tplc="983A616C" w:tentative="1">
      <w:start w:val="1"/>
      <w:numFmt w:val="bullet"/>
      <w:lvlText w:val=""/>
      <w:lvlJc w:val="left"/>
      <w:pPr>
        <w:tabs>
          <w:tab w:val="num" w:pos="2160"/>
        </w:tabs>
        <w:ind w:left="2160" w:hanging="360"/>
      </w:pPr>
      <w:rPr>
        <w:rFonts w:ascii="Wingdings" w:hAnsi="Wingdings" w:hint="default"/>
      </w:rPr>
    </w:lvl>
    <w:lvl w:ilvl="3" w:tplc="0BDA00D2" w:tentative="1">
      <w:start w:val="1"/>
      <w:numFmt w:val="bullet"/>
      <w:lvlText w:val=""/>
      <w:lvlJc w:val="left"/>
      <w:pPr>
        <w:tabs>
          <w:tab w:val="num" w:pos="2880"/>
        </w:tabs>
        <w:ind w:left="2880" w:hanging="360"/>
      </w:pPr>
      <w:rPr>
        <w:rFonts w:ascii="Symbol" w:hAnsi="Symbol" w:hint="default"/>
      </w:rPr>
    </w:lvl>
    <w:lvl w:ilvl="4" w:tplc="C85AAE0E" w:tentative="1">
      <w:start w:val="1"/>
      <w:numFmt w:val="bullet"/>
      <w:lvlText w:val="o"/>
      <w:lvlJc w:val="left"/>
      <w:pPr>
        <w:tabs>
          <w:tab w:val="num" w:pos="3600"/>
        </w:tabs>
        <w:ind w:left="3600" w:hanging="360"/>
      </w:pPr>
      <w:rPr>
        <w:rFonts w:ascii="Courier New" w:hAnsi="Courier New" w:cs="Courier New" w:hint="default"/>
      </w:rPr>
    </w:lvl>
    <w:lvl w:ilvl="5" w:tplc="BF4A2744" w:tentative="1">
      <w:start w:val="1"/>
      <w:numFmt w:val="bullet"/>
      <w:lvlText w:val=""/>
      <w:lvlJc w:val="left"/>
      <w:pPr>
        <w:tabs>
          <w:tab w:val="num" w:pos="4320"/>
        </w:tabs>
        <w:ind w:left="4320" w:hanging="360"/>
      </w:pPr>
      <w:rPr>
        <w:rFonts w:ascii="Wingdings" w:hAnsi="Wingdings" w:hint="default"/>
      </w:rPr>
    </w:lvl>
    <w:lvl w:ilvl="6" w:tplc="DADCC76C" w:tentative="1">
      <w:start w:val="1"/>
      <w:numFmt w:val="bullet"/>
      <w:lvlText w:val=""/>
      <w:lvlJc w:val="left"/>
      <w:pPr>
        <w:tabs>
          <w:tab w:val="num" w:pos="5040"/>
        </w:tabs>
        <w:ind w:left="5040" w:hanging="360"/>
      </w:pPr>
      <w:rPr>
        <w:rFonts w:ascii="Symbol" w:hAnsi="Symbol" w:hint="default"/>
      </w:rPr>
    </w:lvl>
    <w:lvl w:ilvl="7" w:tplc="23C25380" w:tentative="1">
      <w:start w:val="1"/>
      <w:numFmt w:val="bullet"/>
      <w:lvlText w:val="o"/>
      <w:lvlJc w:val="left"/>
      <w:pPr>
        <w:tabs>
          <w:tab w:val="num" w:pos="5760"/>
        </w:tabs>
        <w:ind w:left="5760" w:hanging="360"/>
      </w:pPr>
      <w:rPr>
        <w:rFonts w:ascii="Courier New" w:hAnsi="Courier New" w:cs="Courier New" w:hint="default"/>
      </w:rPr>
    </w:lvl>
    <w:lvl w:ilvl="8" w:tplc="A7FE612E" w:tentative="1">
      <w:start w:val="1"/>
      <w:numFmt w:val="bullet"/>
      <w:lvlText w:val=""/>
      <w:lvlJc w:val="left"/>
      <w:pPr>
        <w:tabs>
          <w:tab w:val="num" w:pos="6480"/>
        </w:tabs>
        <w:ind w:left="6480" w:hanging="360"/>
      </w:pPr>
      <w:rPr>
        <w:rFonts w:ascii="Wingdings" w:hAnsi="Wingdings" w:hint="default"/>
      </w:rPr>
    </w:lvl>
  </w:abstractNum>
  <w:abstractNum w:abstractNumId="13">
    <w:nsid w:val="51707344"/>
    <w:multiLevelType w:val="hybridMultilevel"/>
    <w:tmpl w:val="33046FB8"/>
    <w:lvl w:ilvl="0" w:tplc="CCEAE2D2">
      <w:start w:val="1"/>
      <w:numFmt w:val="bullet"/>
      <w:lvlText w:val=""/>
      <w:lvlJc w:val="left"/>
      <w:pPr>
        <w:tabs>
          <w:tab w:val="num" w:pos="288"/>
        </w:tabs>
        <w:ind w:left="288" w:hanging="288"/>
      </w:pPr>
      <w:rPr>
        <w:rFonts w:ascii="Symbol" w:hAnsi="Symbol" w:hint="default"/>
      </w:rPr>
    </w:lvl>
    <w:lvl w:ilvl="1" w:tplc="5740AF98">
      <w:start w:val="1"/>
      <w:numFmt w:val="bullet"/>
      <w:lvlText w:val=""/>
      <w:lvlJc w:val="left"/>
      <w:pPr>
        <w:tabs>
          <w:tab w:val="num" w:pos="1440"/>
        </w:tabs>
        <w:ind w:left="1440" w:hanging="360"/>
      </w:pPr>
      <w:rPr>
        <w:rFonts w:ascii="Wingdings" w:hAnsi="Wingdings" w:hint="default"/>
      </w:rPr>
    </w:lvl>
    <w:lvl w:ilvl="2" w:tplc="D9F8B04C" w:tentative="1">
      <w:start w:val="1"/>
      <w:numFmt w:val="bullet"/>
      <w:lvlText w:val=""/>
      <w:lvlJc w:val="left"/>
      <w:pPr>
        <w:tabs>
          <w:tab w:val="num" w:pos="2160"/>
        </w:tabs>
        <w:ind w:left="2160" w:hanging="360"/>
      </w:pPr>
      <w:rPr>
        <w:rFonts w:ascii="Wingdings" w:hAnsi="Wingdings" w:hint="default"/>
      </w:rPr>
    </w:lvl>
    <w:lvl w:ilvl="3" w:tplc="FD9A92C6" w:tentative="1">
      <w:start w:val="1"/>
      <w:numFmt w:val="bullet"/>
      <w:lvlText w:val=""/>
      <w:lvlJc w:val="left"/>
      <w:pPr>
        <w:tabs>
          <w:tab w:val="num" w:pos="2880"/>
        </w:tabs>
        <w:ind w:left="2880" w:hanging="360"/>
      </w:pPr>
      <w:rPr>
        <w:rFonts w:ascii="Symbol" w:hAnsi="Symbol" w:hint="default"/>
      </w:rPr>
    </w:lvl>
    <w:lvl w:ilvl="4" w:tplc="4F5E2FC8" w:tentative="1">
      <w:start w:val="1"/>
      <w:numFmt w:val="bullet"/>
      <w:lvlText w:val="o"/>
      <w:lvlJc w:val="left"/>
      <w:pPr>
        <w:tabs>
          <w:tab w:val="num" w:pos="3600"/>
        </w:tabs>
        <w:ind w:left="3600" w:hanging="360"/>
      </w:pPr>
      <w:rPr>
        <w:rFonts w:ascii="Courier New" w:hAnsi="Courier New" w:cs="Courier New" w:hint="default"/>
      </w:rPr>
    </w:lvl>
    <w:lvl w:ilvl="5" w:tplc="67661124" w:tentative="1">
      <w:start w:val="1"/>
      <w:numFmt w:val="bullet"/>
      <w:lvlText w:val=""/>
      <w:lvlJc w:val="left"/>
      <w:pPr>
        <w:tabs>
          <w:tab w:val="num" w:pos="4320"/>
        </w:tabs>
        <w:ind w:left="4320" w:hanging="360"/>
      </w:pPr>
      <w:rPr>
        <w:rFonts w:ascii="Wingdings" w:hAnsi="Wingdings" w:hint="default"/>
      </w:rPr>
    </w:lvl>
    <w:lvl w:ilvl="6" w:tplc="F94EB4E4" w:tentative="1">
      <w:start w:val="1"/>
      <w:numFmt w:val="bullet"/>
      <w:lvlText w:val=""/>
      <w:lvlJc w:val="left"/>
      <w:pPr>
        <w:tabs>
          <w:tab w:val="num" w:pos="5040"/>
        </w:tabs>
        <w:ind w:left="5040" w:hanging="360"/>
      </w:pPr>
      <w:rPr>
        <w:rFonts w:ascii="Symbol" w:hAnsi="Symbol" w:hint="default"/>
      </w:rPr>
    </w:lvl>
    <w:lvl w:ilvl="7" w:tplc="14DED548" w:tentative="1">
      <w:start w:val="1"/>
      <w:numFmt w:val="bullet"/>
      <w:lvlText w:val="o"/>
      <w:lvlJc w:val="left"/>
      <w:pPr>
        <w:tabs>
          <w:tab w:val="num" w:pos="5760"/>
        </w:tabs>
        <w:ind w:left="5760" w:hanging="360"/>
      </w:pPr>
      <w:rPr>
        <w:rFonts w:ascii="Courier New" w:hAnsi="Courier New" w:cs="Courier New" w:hint="default"/>
      </w:rPr>
    </w:lvl>
    <w:lvl w:ilvl="8" w:tplc="E55809D6" w:tentative="1">
      <w:start w:val="1"/>
      <w:numFmt w:val="bullet"/>
      <w:lvlText w:val=""/>
      <w:lvlJc w:val="left"/>
      <w:pPr>
        <w:tabs>
          <w:tab w:val="num" w:pos="6480"/>
        </w:tabs>
        <w:ind w:left="6480" w:hanging="360"/>
      </w:pPr>
      <w:rPr>
        <w:rFonts w:ascii="Wingdings" w:hAnsi="Wingdings" w:hint="default"/>
      </w:rPr>
    </w:lvl>
  </w:abstractNum>
  <w:abstractNum w:abstractNumId="14">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406120E"/>
    <w:multiLevelType w:val="hybridMultilevel"/>
    <w:tmpl w:val="C8BECD9C"/>
    <w:lvl w:ilvl="0" w:tplc="C6A4049A">
      <w:start w:val="1"/>
      <w:numFmt w:val="bullet"/>
      <w:lvlText w:val=""/>
      <w:lvlJc w:val="left"/>
      <w:pPr>
        <w:tabs>
          <w:tab w:val="num" w:pos="144"/>
        </w:tabs>
        <w:ind w:left="288" w:hanging="288"/>
      </w:pPr>
      <w:rPr>
        <w:rFonts w:ascii="Wingdings" w:hAnsi="Wingdings" w:hint="default"/>
      </w:rPr>
    </w:lvl>
    <w:lvl w:ilvl="1" w:tplc="E0E8AB38">
      <w:start w:val="1"/>
      <w:numFmt w:val="bullet"/>
      <w:lvlText w:val="o"/>
      <w:lvlJc w:val="left"/>
      <w:pPr>
        <w:tabs>
          <w:tab w:val="num" w:pos="1440"/>
        </w:tabs>
        <w:ind w:left="1440" w:hanging="360"/>
      </w:pPr>
      <w:rPr>
        <w:rFonts w:ascii="Courier New" w:hAnsi="Courier New" w:cs="Courier New" w:hint="default"/>
      </w:rPr>
    </w:lvl>
    <w:lvl w:ilvl="2" w:tplc="FEBC137A" w:tentative="1">
      <w:start w:val="1"/>
      <w:numFmt w:val="bullet"/>
      <w:lvlText w:val=""/>
      <w:lvlJc w:val="left"/>
      <w:pPr>
        <w:tabs>
          <w:tab w:val="num" w:pos="2160"/>
        </w:tabs>
        <w:ind w:left="2160" w:hanging="360"/>
      </w:pPr>
      <w:rPr>
        <w:rFonts w:ascii="Wingdings" w:hAnsi="Wingdings" w:hint="default"/>
      </w:rPr>
    </w:lvl>
    <w:lvl w:ilvl="3" w:tplc="6D364C0A" w:tentative="1">
      <w:start w:val="1"/>
      <w:numFmt w:val="bullet"/>
      <w:lvlText w:val=""/>
      <w:lvlJc w:val="left"/>
      <w:pPr>
        <w:tabs>
          <w:tab w:val="num" w:pos="2880"/>
        </w:tabs>
        <w:ind w:left="2880" w:hanging="360"/>
      </w:pPr>
      <w:rPr>
        <w:rFonts w:ascii="Symbol" w:hAnsi="Symbol" w:hint="default"/>
      </w:rPr>
    </w:lvl>
    <w:lvl w:ilvl="4" w:tplc="9FB0D004" w:tentative="1">
      <w:start w:val="1"/>
      <w:numFmt w:val="bullet"/>
      <w:lvlText w:val="o"/>
      <w:lvlJc w:val="left"/>
      <w:pPr>
        <w:tabs>
          <w:tab w:val="num" w:pos="3600"/>
        </w:tabs>
        <w:ind w:left="3600" w:hanging="360"/>
      </w:pPr>
      <w:rPr>
        <w:rFonts w:ascii="Courier New" w:hAnsi="Courier New" w:cs="Courier New" w:hint="default"/>
      </w:rPr>
    </w:lvl>
    <w:lvl w:ilvl="5" w:tplc="BC00E01C" w:tentative="1">
      <w:start w:val="1"/>
      <w:numFmt w:val="bullet"/>
      <w:lvlText w:val=""/>
      <w:lvlJc w:val="left"/>
      <w:pPr>
        <w:tabs>
          <w:tab w:val="num" w:pos="4320"/>
        </w:tabs>
        <w:ind w:left="4320" w:hanging="360"/>
      </w:pPr>
      <w:rPr>
        <w:rFonts w:ascii="Wingdings" w:hAnsi="Wingdings" w:hint="default"/>
      </w:rPr>
    </w:lvl>
    <w:lvl w:ilvl="6" w:tplc="5202ABC8" w:tentative="1">
      <w:start w:val="1"/>
      <w:numFmt w:val="bullet"/>
      <w:lvlText w:val=""/>
      <w:lvlJc w:val="left"/>
      <w:pPr>
        <w:tabs>
          <w:tab w:val="num" w:pos="5040"/>
        </w:tabs>
        <w:ind w:left="5040" w:hanging="360"/>
      </w:pPr>
      <w:rPr>
        <w:rFonts w:ascii="Symbol" w:hAnsi="Symbol" w:hint="default"/>
      </w:rPr>
    </w:lvl>
    <w:lvl w:ilvl="7" w:tplc="95127D98" w:tentative="1">
      <w:start w:val="1"/>
      <w:numFmt w:val="bullet"/>
      <w:lvlText w:val="o"/>
      <w:lvlJc w:val="left"/>
      <w:pPr>
        <w:tabs>
          <w:tab w:val="num" w:pos="5760"/>
        </w:tabs>
        <w:ind w:left="5760" w:hanging="360"/>
      </w:pPr>
      <w:rPr>
        <w:rFonts w:ascii="Courier New" w:hAnsi="Courier New" w:cs="Courier New" w:hint="default"/>
      </w:rPr>
    </w:lvl>
    <w:lvl w:ilvl="8" w:tplc="B2948E5A" w:tentative="1">
      <w:start w:val="1"/>
      <w:numFmt w:val="bullet"/>
      <w:lvlText w:val=""/>
      <w:lvlJc w:val="left"/>
      <w:pPr>
        <w:tabs>
          <w:tab w:val="num" w:pos="6480"/>
        </w:tabs>
        <w:ind w:left="6480" w:hanging="360"/>
      </w:pPr>
      <w:rPr>
        <w:rFonts w:ascii="Wingdings" w:hAnsi="Wingdings" w:hint="default"/>
      </w:rPr>
    </w:lvl>
  </w:abstractNum>
  <w:abstractNum w:abstractNumId="16">
    <w:nsid w:val="6C4A315C"/>
    <w:multiLevelType w:val="hybridMultilevel"/>
    <w:tmpl w:val="FD94BEAE"/>
    <w:lvl w:ilvl="0" w:tplc="009CC60E">
      <w:start w:val="1"/>
      <w:numFmt w:val="bullet"/>
      <w:lvlText w:val=""/>
      <w:lvlJc w:val="left"/>
      <w:pPr>
        <w:tabs>
          <w:tab w:val="num" w:pos="216"/>
        </w:tabs>
        <w:ind w:left="216" w:hanging="216"/>
      </w:pPr>
      <w:rPr>
        <w:rFonts w:ascii="Symbol" w:hAnsi="Symbol" w:hint="default"/>
      </w:rPr>
    </w:lvl>
    <w:lvl w:ilvl="1" w:tplc="BA90C194">
      <w:start w:val="1"/>
      <w:numFmt w:val="bullet"/>
      <w:lvlText w:val=""/>
      <w:lvlJc w:val="left"/>
      <w:pPr>
        <w:tabs>
          <w:tab w:val="num" w:pos="1440"/>
        </w:tabs>
        <w:ind w:left="1440" w:hanging="360"/>
      </w:pPr>
      <w:rPr>
        <w:rFonts w:ascii="Symbol" w:hAnsi="Symbol" w:hint="default"/>
      </w:rPr>
    </w:lvl>
    <w:lvl w:ilvl="2" w:tplc="F3964D6C" w:tentative="1">
      <w:start w:val="1"/>
      <w:numFmt w:val="bullet"/>
      <w:lvlText w:val=""/>
      <w:lvlJc w:val="left"/>
      <w:pPr>
        <w:tabs>
          <w:tab w:val="num" w:pos="2160"/>
        </w:tabs>
        <w:ind w:left="2160" w:hanging="360"/>
      </w:pPr>
      <w:rPr>
        <w:rFonts w:ascii="Wingdings" w:hAnsi="Wingdings" w:hint="default"/>
      </w:rPr>
    </w:lvl>
    <w:lvl w:ilvl="3" w:tplc="9B14E15A" w:tentative="1">
      <w:start w:val="1"/>
      <w:numFmt w:val="bullet"/>
      <w:lvlText w:val=""/>
      <w:lvlJc w:val="left"/>
      <w:pPr>
        <w:tabs>
          <w:tab w:val="num" w:pos="2880"/>
        </w:tabs>
        <w:ind w:left="2880" w:hanging="360"/>
      </w:pPr>
      <w:rPr>
        <w:rFonts w:ascii="Symbol" w:hAnsi="Symbol" w:hint="default"/>
      </w:rPr>
    </w:lvl>
    <w:lvl w:ilvl="4" w:tplc="C896DA8E" w:tentative="1">
      <w:start w:val="1"/>
      <w:numFmt w:val="bullet"/>
      <w:lvlText w:val="o"/>
      <w:lvlJc w:val="left"/>
      <w:pPr>
        <w:tabs>
          <w:tab w:val="num" w:pos="3600"/>
        </w:tabs>
        <w:ind w:left="3600" w:hanging="360"/>
      </w:pPr>
      <w:rPr>
        <w:rFonts w:ascii="Courier New" w:hAnsi="Courier New" w:cs="Courier New" w:hint="default"/>
      </w:rPr>
    </w:lvl>
    <w:lvl w:ilvl="5" w:tplc="3626DE94" w:tentative="1">
      <w:start w:val="1"/>
      <w:numFmt w:val="bullet"/>
      <w:lvlText w:val=""/>
      <w:lvlJc w:val="left"/>
      <w:pPr>
        <w:tabs>
          <w:tab w:val="num" w:pos="4320"/>
        </w:tabs>
        <w:ind w:left="4320" w:hanging="360"/>
      </w:pPr>
      <w:rPr>
        <w:rFonts w:ascii="Wingdings" w:hAnsi="Wingdings" w:hint="default"/>
      </w:rPr>
    </w:lvl>
    <w:lvl w:ilvl="6" w:tplc="878C74A2" w:tentative="1">
      <w:start w:val="1"/>
      <w:numFmt w:val="bullet"/>
      <w:lvlText w:val=""/>
      <w:lvlJc w:val="left"/>
      <w:pPr>
        <w:tabs>
          <w:tab w:val="num" w:pos="5040"/>
        </w:tabs>
        <w:ind w:left="5040" w:hanging="360"/>
      </w:pPr>
      <w:rPr>
        <w:rFonts w:ascii="Symbol" w:hAnsi="Symbol" w:hint="default"/>
      </w:rPr>
    </w:lvl>
    <w:lvl w:ilvl="7" w:tplc="E438CCC4" w:tentative="1">
      <w:start w:val="1"/>
      <w:numFmt w:val="bullet"/>
      <w:lvlText w:val="o"/>
      <w:lvlJc w:val="left"/>
      <w:pPr>
        <w:tabs>
          <w:tab w:val="num" w:pos="5760"/>
        </w:tabs>
        <w:ind w:left="5760" w:hanging="360"/>
      </w:pPr>
      <w:rPr>
        <w:rFonts w:ascii="Courier New" w:hAnsi="Courier New" w:cs="Courier New" w:hint="default"/>
      </w:rPr>
    </w:lvl>
    <w:lvl w:ilvl="8" w:tplc="3B1C1650" w:tentative="1">
      <w:start w:val="1"/>
      <w:numFmt w:val="bullet"/>
      <w:lvlText w:val=""/>
      <w:lvlJc w:val="left"/>
      <w:pPr>
        <w:tabs>
          <w:tab w:val="num" w:pos="6480"/>
        </w:tabs>
        <w:ind w:left="6480" w:hanging="360"/>
      </w:pPr>
      <w:rPr>
        <w:rFonts w:ascii="Wingdings" w:hAnsi="Wingdings" w:hint="default"/>
      </w:rPr>
    </w:lvl>
  </w:abstractNum>
  <w:abstractNum w:abstractNumId="17">
    <w:nsid w:val="729C1F3E"/>
    <w:multiLevelType w:val="hybridMultilevel"/>
    <w:tmpl w:val="D312D474"/>
    <w:lvl w:ilvl="0" w:tplc="D846A422">
      <w:start w:val="1"/>
      <w:numFmt w:val="decimal"/>
      <w:lvlText w:val="%1)"/>
      <w:lvlJc w:val="left"/>
      <w:pPr>
        <w:tabs>
          <w:tab w:val="num" w:pos="720"/>
        </w:tabs>
        <w:ind w:left="720" w:hanging="360"/>
      </w:pPr>
      <w:rPr>
        <w:rFonts w:hint="default"/>
      </w:rPr>
    </w:lvl>
    <w:lvl w:ilvl="1" w:tplc="31DC224A">
      <w:start w:val="1"/>
      <w:numFmt w:val="lowerLetter"/>
      <w:lvlText w:val="%2."/>
      <w:lvlJc w:val="left"/>
      <w:pPr>
        <w:tabs>
          <w:tab w:val="num" w:pos="1440"/>
        </w:tabs>
        <w:ind w:left="1440" w:hanging="360"/>
      </w:pPr>
    </w:lvl>
    <w:lvl w:ilvl="2" w:tplc="DDB037A0">
      <w:start w:val="1"/>
      <w:numFmt w:val="lowerRoman"/>
      <w:lvlText w:val="%3."/>
      <w:lvlJc w:val="right"/>
      <w:pPr>
        <w:tabs>
          <w:tab w:val="num" w:pos="2160"/>
        </w:tabs>
        <w:ind w:left="2160" w:hanging="180"/>
      </w:pPr>
    </w:lvl>
    <w:lvl w:ilvl="3" w:tplc="742A0806">
      <w:start w:val="1"/>
      <w:numFmt w:val="decimal"/>
      <w:lvlText w:val="%4."/>
      <w:lvlJc w:val="left"/>
      <w:pPr>
        <w:tabs>
          <w:tab w:val="num" w:pos="2880"/>
        </w:tabs>
        <w:ind w:left="2880" w:hanging="360"/>
      </w:pPr>
    </w:lvl>
    <w:lvl w:ilvl="4" w:tplc="5114C23A">
      <w:start w:val="1"/>
      <w:numFmt w:val="lowerLetter"/>
      <w:lvlText w:val="%5."/>
      <w:lvlJc w:val="left"/>
      <w:pPr>
        <w:tabs>
          <w:tab w:val="num" w:pos="3600"/>
        </w:tabs>
        <w:ind w:left="3600" w:hanging="360"/>
      </w:pPr>
    </w:lvl>
    <w:lvl w:ilvl="5" w:tplc="DCD8D4B6">
      <w:start w:val="1"/>
      <w:numFmt w:val="lowerRoman"/>
      <w:lvlText w:val="%6."/>
      <w:lvlJc w:val="right"/>
      <w:pPr>
        <w:tabs>
          <w:tab w:val="num" w:pos="4320"/>
        </w:tabs>
        <w:ind w:left="4320" w:hanging="180"/>
      </w:pPr>
    </w:lvl>
    <w:lvl w:ilvl="6" w:tplc="DD5CA28E">
      <w:start w:val="1"/>
      <w:numFmt w:val="decimal"/>
      <w:lvlText w:val="%7."/>
      <w:lvlJc w:val="left"/>
      <w:pPr>
        <w:tabs>
          <w:tab w:val="num" w:pos="5040"/>
        </w:tabs>
        <w:ind w:left="5040" w:hanging="360"/>
      </w:pPr>
    </w:lvl>
    <w:lvl w:ilvl="7" w:tplc="92DC8798">
      <w:start w:val="1"/>
      <w:numFmt w:val="lowerLetter"/>
      <w:lvlText w:val="%8."/>
      <w:lvlJc w:val="left"/>
      <w:pPr>
        <w:tabs>
          <w:tab w:val="num" w:pos="5760"/>
        </w:tabs>
        <w:ind w:left="5760" w:hanging="360"/>
      </w:pPr>
    </w:lvl>
    <w:lvl w:ilvl="8" w:tplc="5F56EA70">
      <w:start w:val="1"/>
      <w:numFmt w:val="lowerRoman"/>
      <w:lvlText w:val="%9."/>
      <w:lvlJc w:val="right"/>
      <w:pPr>
        <w:tabs>
          <w:tab w:val="num" w:pos="6480"/>
        </w:tabs>
        <w:ind w:left="6480" w:hanging="180"/>
      </w:pPr>
    </w:lvl>
  </w:abstractNum>
  <w:abstractNum w:abstractNumId="18">
    <w:nsid w:val="73350D82"/>
    <w:multiLevelType w:val="hybridMultilevel"/>
    <w:tmpl w:val="8F1E11A6"/>
    <w:lvl w:ilvl="0" w:tplc="B4303310">
      <w:start w:val="1"/>
      <w:numFmt w:val="bullet"/>
      <w:lvlText w:val=""/>
      <w:lvlJc w:val="left"/>
      <w:pPr>
        <w:tabs>
          <w:tab w:val="num" w:pos="720"/>
        </w:tabs>
        <w:ind w:left="720" w:hanging="360"/>
      </w:pPr>
      <w:rPr>
        <w:rFonts w:ascii="Symbol" w:hAnsi="Symbol" w:hint="default"/>
      </w:rPr>
    </w:lvl>
    <w:lvl w:ilvl="1" w:tplc="54E2EAA6" w:tentative="1">
      <w:start w:val="1"/>
      <w:numFmt w:val="bullet"/>
      <w:lvlText w:val="o"/>
      <w:lvlJc w:val="left"/>
      <w:pPr>
        <w:tabs>
          <w:tab w:val="num" w:pos="1440"/>
        </w:tabs>
        <w:ind w:left="1440" w:hanging="360"/>
      </w:pPr>
      <w:rPr>
        <w:rFonts w:ascii="Courier New" w:hAnsi="Courier New" w:cs="Courier New" w:hint="default"/>
      </w:rPr>
    </w:lvl>
    <w:lvl w:ilvl="2" w:tplc="984C0FA4" w:tentative="1">
      <w:start w:val="1"/>
      <w:numFmt w:val="bullet"/>
      <w:lvlText w:val=""/>
      <w:lvlJc w:val="left"/>
      <w:pPr>
        <w:tabs>
          <w:tab w:val="num" w:pos="2160"/>
        </w:tabs>
        <w:ind w:left="2160" w:hanging="360"/>
      </w:pPr>
      <w:rPr>
        <w:rFonts w:ascii="Wingdings" w:hAnsi="Wingdings" w:hint="default"/>
      </w:rPr>
    </w:lvl>
    <w:lvl w:ilvl="3" w:tplc="7A32673E" w:tentative="1">
      <w:start w:val="1"/>
      <w:numFmt w:val="bullet"/>
      <w:lvlText w:val=""/>
      <w:lvlJc w:val="left"/>
      <w:pPr>
        <w:tabs>
          <w:tab w:val="num" w:pos="2880"/>
        </w:tabs>
        <w:ind w:left="2880" w:hanging="360"/>
      </w:pPr>
      <w:rPr>
        <w:rFonts w:ascii="Symbol" w:hAnsi="Symbol" w:hint="default"/>
      </w:rPr>
    </w:lvl>
    <w:lvl w:ilvl="4" w:tplc="174AD610" w:tentative="1">
      <w:start w:val="1"/>
      <w:numFmt w:val="bullet"/>
      <w:lvlText w:val="o"/>
      <w:lvlJc w:val="left"/>
      <w:pPr>
        <w:tabs>
          <w:tab w:val="num" w:pos="3600"/>
        </w:tabs>
        <w:ind w:left="3600" w:hanging="360"/>
      </w:pPr>
      <w:rPr>
        <w:rFonts w:ascii="Courier New" w:hAnsi="Courier New" w:cs="Courier New" w:hint="default"/>
      </w:rPr>
    </w:lvl>
    <w:lvl w:ilvl="5" w:tplc="C2826BBC" w:tentative="1">
      <w:start w:val="1"/>
      <w:numFmt w:val="bullet"/>
      <w:lvlText w:val=""/>
      <w:lvlJc w:val="left"/>
      <w:pPr>
        <w:tabs>
          <w:tab w:val="num" w:pos="4320"/>
        </w:tabs>
        <w:ind w:left="4320" w:hanging="360"/>
      </w:pPr>
      <w:rPr>
        <w:rFonts w:ascii="Wingdings" w:hAnsi="Wingdings" w:hint="default"/>
      </w:rPr>
    </w:lvl>
    <w:lvl w:ilvl="6" w:tplc="745A3F38" w:tentative="1">
      <w:start w:val="1"/>
      <w:numFmt w:val="bullet"/>
      <w:lvlText w:val=""/>
      <w:lvlJc w:val="left"/>
      <w:pPr>
        <w:tabs>
          <w:tab w:val="num" w:pos="5040"/>
        </w:tabs>
        <w:ind w:left="5040" w:hanging="360"/>
      </w:pPr>
      <w:rPr>
        <w:rFonts w:ascii="Symbol" w:hAnsi="Symbol" w:hint="default"/>
      </w:rPr>
    </w:lvl>
    <w:lvl w:ilvl="7" w:tplc="C61EF56E" w:tentative="1">
      <w:start w:val="1"/>
      <w:numFmt w:val="bullet"/>
      <w:lvlText w:val="o"/>
      <w:lvlJc w:val="left"/>
      <w:pPr>
        <w:tabs>
          <w:tab w:val="num" w:pos="5760"/>
        </w:tabs>
        <w:ind w:left="5760" w:hanging="360"/>
      </w:pPr>
      <w:rPr>
        <w:rFonts w:ascii="Courier New" w:hAnsi="Courier New" w:cs="Courier New" w:hint="default"/>
      </w:rPr>
    </w:lvl>
    <w:lvl w:ilvl="8" w:tplc="46BE5B94" w:tentative="1">
      <w:start w:val="1"/>
      <w:numFmt w:val="bullet"/>
      <w:lvlText w:val=""/>
      <w:lvlJc w:val="left"/>
      <w:pPr>
        <w:tabs>
          <w:tab w:val="num" w:pos="6480"/>
        </w:tabs>
        <w:ind w:left="6480" w:hanging="360"/>
      </w:pPr>
      <w:rPr>
        <w:rFonts w:ascii="Wingdings" w:hAnsi="Wingdings" w:hint="default"/>
      </w:rPr>
    </w:lvl>
  </w:abstractNum>
  <w:abstractNum w:abstractNumId="19">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ED049D6"/>
    <w:multiLevelType w:val="hybridMultilevel"/>
    <w:tmpl w:val="1E54E486"/>
    <w:lvl w:ilvl="0" w:tplc="4056764A">
      <w:start w:val="1"/>
      <w:numFmt w:val="bullet"/>
      <w:lvlText w:val=""/>
      <w:lvlJc w:val="left"/>
      <w:pPr>
        <w:tabs>
          <w:tab w:val="num" w:pos="72"/>
        </w:tabs>
        <w:ind w:left="216" w:hanging="216"/>
      </w:pPr>
      <w:rPr>
        <w:rFonts w:ascii="Wingdings" w:hAnsi="Wingdings" w:hint="default"/>
        <w:color w:val="auto"/>
      </w:rPr>
    </w:lvl>
    <w:lvl w:ilvl="1" w:tplc="6D48C41E" w:tentative="1">
      <w:start w:val="1"/>
      <w:numFmt w:val="bullet"/>
      <w:lvlText w:val="o"/>
      <w:lvlJc w:val="left"/>
      <w:pPr>
        <w:tabs>
          <w:tab w:val="num" w:pos="1440"/>
        </w:tabs>
        <w:ind w:left="1440" w:hanging="360"/>
      </w:pPr>
      <w:rPr>
        <w:rFonts w:ascii="Courier New" w:hAnsi="Courier New" w:cs="Courier New" w:hint="default"/>
      </w:rPr>
    </w:lvl>
    <w:lvl w:ilvl="2" w:tplc="6D84D612" w:tentative="1">
      <w:start w:val="1"/>
      <w:numFmt w:val="bullet"/>
      <w:lvlText w:val=""/>
      <w:lvlJc w:val="left"/>
      <w:pPr>
        <w:tabs>
          <w:tab w:val="num" w:pos="2160"/>
        </w:tabs>
        <w:ind w:left="2160" w:hanging="360"/>
      </w:pPr>
      <w:rPr>
        <w:rFonts w:ascii="Wingdings" w:hAnsi="Wingdings" w:hint="default"/>
      </w:rPr>
    </w:lvl>
    <w:lvl w:ilvl="3" w:tplc="18C493AC" w:tentative="1">
      <w:start w:val="1"/>
      <w:numFmt w:val="bullet"/>
      <w:lvlText w:val=""/>
      <w:lvlJc w:val="left"/>
      <w:pPr>
        <w:tabs>
          <w:tab w:val="num" w:pos="2880"/>
        </w:tabs>
        <w:ind w:left="2880" w:hanging="360"/>
      </w:pPr>
      <w:rPr>
        <w:rFonts w:ascii="Symbol" w:hAnsi="Symbol" w:hint="default"/>
      </w:rPr>
    </w:lvl>
    <w:lvl w:ilvl="4" w:tplc="B54E0628" w:tentative="1">
      <w:start w:val="1"/>
      <w:numFmt w:val="bullet"/>
      <w:lvlText w:val="o"/>
      <w:lvlJc w:val="left"/>
      <w:pPr>
        <w:tabs>
          <w:tab w:val="num" w:pos="3600"/>
        </w:tabs>
        <w:ind w:left="3600" w:hanging="360"/>
      </w:pPr>
      <w:rPr>
        <w:rFonts w:ascii="Courier New" w:hAnsi="Courier New" w:cs="Courier New" w:hint="default"/>
      </w:rPr>
    </w:lvl>
    <w:lvl w:ilvl="5" w:tplc="9808D646" w:tentative="1">
      <w:start w:val="1"/>
      <w:numFmt w:val="bullet"/>
      <w:lvlText w:val=""/>
      <w:lvlJc w:val="left"/>
      <w:pPr>
        <w:tabs>
          <w:tab w:val="num" w:pos="4320"/>
        </w:tabs>
        <w:ind w:left="4320" w:hanging="360"/>
      </w:pPr>
      <w:rPr>
        <w:rFonts w:ascii="Wingdings" w:hAnsi="Wingdings" w:hint="default"/>
      </w:rPr>
    </w:lvl>
    <w:lvl w:ilvl="6" w:tplc="C6CE4BB0" w:tentative="1">
      <w:start w:val="1"/>
      <w:numFmt w:val="bullet"/>
      <w:lvlText w:val=""/>
      <w:lvlJc w:val="left"/>
      <w:pPr>
        <w:tabs>
          <w:tab w:val="num" w:pos="5040"/>
        </w:tabs>
        <w:ind w:left="5040" w:hanging="360"/>
      </w:pPr>
      <w:rPr>
        <w:rFonts w:ascii="Symbol" w:hAnsi="Symbol" w:hint="default"/>
      </w:rPr>
    </w:lvl>
    <w:lvl w:ilvl="7" w:tplc="20D0103C" w:tentative="1">
      <w:start w:val="1"/>
      <w:numFmt w:val="bullet"/>
      <w:lvlText w:val="o"/>
      <w:lvlJc w:val="left"/>
      <w:pPr>
        <w:tabs>
          <w:tab w:val="num" w:pos="5760"/>
        </w:tabs>
        <w:ind w:left="5760" w:hanging="360"/>
      </w:pPr>
      <w:rPr>
        <w:rFonts w:ascii="Courier New" w:hAnsi="Courier New" w:cs="Courier New" w:hint="default"/>
      </w:rPr>
    </w:lvl>
    <w:lvl w:ilvl="8" w:tplc="15A83C4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F9"/>
    <w:rsid w:val="0003281F"/>
    <w:rsid w:val="000B060D"/>
    <w:rsid w:val="00103D98"/>
    <w:rsid w:val="00110ED6"/>
    <w:rsid w:val="0017313A"/>
    <w:rsid w:val="002203F9"/>
    <w:rsid w:val="002B377B"/>
    <w:rsid w:val="0031345D"/>
    <w:rsid w:val="00327B65"/>
    <w:rsid w:val="003D0220"/>
    <w:rsid w:val="005F0689"/>
    <w:rsid w:val="00640F02"/>
    <w:rsid w:val="0065282E"/>
    <w:rsid w:val="006C2395"/>
    <w:rsid w:val="006D432C"/>
    <w:rsid w:val="00731FD2"/>
    <w:rsid w:val="008B6881"/>
    <w:rsid w:val="00C36D30"/>
    <w:rsid w:val="00C91232"/>
    <w:rsid w:val="00DA0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Calibri" w:hAnsi="Book Antiqu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committee-member-title">
    <w:name w:val="committee-member-title"/>
    <w:basedOn w:val="Normal"/>
    <w:rsid w:val="002B377B"/>
    <w:pPr>
      <w:spacing w:before="100" w:beforeAutospacing="1" w:after="100" w:afterAutospacing="1"/>
    </w:pPr>
    <w:rPr>
      <w:rFonts w:ascii="Times New Roman" w:hAnsi="Times New Roman"/>
      <w:sz w:val="24"/>
      <w:szCs w:val="24"/>
    </w:rPr>
  </w:style>
  <w:style w:type="paragraph" w:customStyle="1" w:styleId="committee-members">
    <w:name w:val="committee-members"/>
    <w:basedOn w:val="Normal"/>
    <w:rsid w:val="002B377B"/>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Calibri" w:hAnsi="Book Antiqu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committee-member-title">
    <w:name w:val="committee-member-title"/>
    <w:basedOn w:val="Normal"/>
    <w:rsid w:val="002B377B"/>
    <w:pPr>
      <w:spacing w:before="100" w:beforeAutospacing="1" w:after="100" w:afterAutospacing="1"/>
    </w:pPr>
    <w:rPr>
      <w:rFonts w:ascii="Times New Roman" w:hAnsi="Times New Roman"/>
      <w:sz w:val="24"/>
      <w:szCs w:val="24"/>
    </w:rPr>
  </w:style>
  <w:style w:type="paragraph" w:customStyle="1" w:styleId="committee-members">
    <w:name w:val="committee-members"/>
    <w:basedOn w:val="Normal"/>
    <w:rsid w:val="002B377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035274">
      <w:bodyDiv w:val="1"/>
      <w:marLeft w:val="0"/>
      <w:marRight w:val="0"/>
      <w:marTop w:val="0"/>
      <w:marBottom w:val="0"/>
      <w:divBdr>
        <w:top w:val="none" w:sz="0" w:space="0" w:color="auto"/>
        <w:left w:val="none" w:sz="0" w:space="0" w:color="auto"/>
        <w:bottom w:val="none" w:sz="0" w:space="0" w:color="auto"/>
        <w:right w:val="none" w:sz="0" w:space="0" w:color="auto"/>
      </w:divBdr>
      <w:divsChild>
        <w:div w:id="68817717">
          <w:marLeft w:val="0"/>
          <w:marRight w:val="0"/>
          <w:marTop w:val="0"/>
          <w:marBottom w:val="0"/>
          <w:divBdr>
            <w:top w:val="none" w:sz="0" w:space="0" w:color="auto"/>
            <w:left w:val="none" w:sz="0" w:space="0" w:color="auto"/>
            <w:bottom w:val="none" w:sz="0" w:space="0" w:color="auto"/>
            <w:right w:val="none" w:sz="0" w:space="0" w:color="auto"/>
          </w:divBdr>
          <w:divsChild>
            <w:div w:id="1205412576">
              <w:marLeft w:val="0"/>
              <w:marRight w:val="0"/>
              <w:marTop w:val="0"/>
              <w:marBottom w:val="0"/>
              <w:divBdr>
                <w:top w:val="none" w:sz="0" w:space="0" w:color="auto"/>
                <w:left w:val="none" w:sz="0" w:space="0" w:color="auto"/>
                <w:bottom w:val="none" w:sz="0" w:space="0" w:color="auto"/>
                <w:right w:val="none" w:sz="0" w:space="0" w:color="auto"/>
              </w:divBdr>
              <w:divsChild>
                <w:div w:id="1181816805">
                  <w:marLeft w:val="0"/>
                  <w:marRight w:val="0"/>
                  <w:marTop w:val="0"/>
                  <w:marBottom w:val="0"/>
                  <w:divBdr>
                    <w:top w:val="none" w:sz="0" w:space="0" w:color="auto"/>
                    <w:left w:val="none" w:sz="0" w:space="0" w:color="auto"/>
                    <w:bottom w:val="none" w:sz="0" w:space="0" w:color="auto"/>
                    <w:right w:val="none" w:sz="0" w:space="0" w:color="auto"/>
                  </w:divBdr>
                  <w:divsChild>
                    <w:div w:id="800996765">
                      <w:marLeft w:val="0"/>
                      <w:marRight w:val="0"/>
                      <w:marTop w:val="0"/>
                      <w:marBottom w:val="0"/>
                      <w:divBdr>
                        <w:top w:val="none" w:sz="0" w:space="0" w:color="auto"/>
                        <w:left w:val="none" w:sz="0" w:space="0" w:color="auto"/>
                        <w:bottom w:val="none" w:sz="0" w:space="0" w:color="auto"/>
                        <w:right w:val="none" w:sz="0" w:space="0" w:color="auto"/>
                      </w:divBdr>
                      <w:divsChild>
                        <w:div w:id="858349993">
                          <w:marLeft w:val="0"/>
                          <w:marRight w:val="0"/>
                          <w:marTop w:val="0"/>
                          <w:marBottom w:val="0"/>
                          <w:divBdr>
                            <w:top w:val="none" w:sz="0" w:space="0" w:color="auto"/>
                            <w:left w:val="none" w:sz="0" w:space="0" w:color="auto"/>
                            <w:bottom w:val="none" w:sz="0" w:space="0" w:color="auto"/>
                            <w:right w:val="none" w:sz="0" w:space="0" w:color="auto"/>
                          </w:divBdr>
                          <w:divsChild>
                            <w:div w:id="1420718036">
                              <w:marLeft w:val="0"/>
                              <w:marRight w:val="0"/>
                              <w:marTop w:val="0"/>
                              <w:marBottom w:val="0"/>
                              <w:divBdr>
                                <w:top w:val="none" w:sz="0" w:space="0" w:color="auto"/>
                                <w:left w:val="none" w:sz="0" w:space="0" w:color="auto"/>
                                <w:bottom w:val="none" w:sz="0" w:space="0" w:color="auto"/>
                                <w:right w:val="none" w:sz="0" w:space="0" w:color="auto"/>
                              </w:divBdr>
                              <w:divsChild>
                                <w:div w:id="1705523206">
                                  <w:marLeft w:val="0"/>
                                  <w:marRight w:val="0"/>
                                  <w:marTop w:val="0"/>
                                  <w:marBottom w:val="0"/>
                                  <w:divBdr>
                                    <w:top w:val="none" w:sz="0" w:space="0" w:color="auto"/>
                                    <w:left w:val="none" w:sz="0" w:space="0" w:color="auto"/>
                                    <w:bottom w:val="none" w:sz="0" w:space="0" w:color="auto"/>
                                    <w:right w:val="none" w:sz="0" w:space="0" w:color="auto"/>
                                  </w:divBdr>
                                  <w:divsChild>
                                    <w:div w:id="201676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dc.gov/flu/professionals/ac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qualityforum.org/docs/measure_evaluation_criteria.aspx" TargetMode="External"/><Relationship Id="rId4" Type="http://schemas.microsoft.com/office/2007/relationships/stylesWithEffects" Target="stylesWithEffects.xml"/><Relationship Id="rId9" Type="http://schemas.openxmlformats.org/officeDocument/2006/relationships/hyperlink" Target="http://www.qualityforum.org/Measuring_Performance/Improving_NQF_Process/Evidence_Task_Force.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1334E-13DA-4143-AA31-E1DEB17E3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2363</Words>
  <Characters>15009</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American Medical Association</Company>
  <LinksUpToDate>false</LinksUpToDate>
  <CharactersWithSpaces>17338</CharactersWithSpaces>
  <SharedDoc>false</SharedDoc>
  <HLinks>
    <vt:vector size="12" baseType="variant">
      <vt:variant>
        <vt:i4>7536760</vt:i4>
      </vt:variant>
      <vt:variant>
        <vt:i4>3</vt:i4>
      </vt:variant>
      <vt:variant>
        <vt:i4>0</vt:i4>
      </vt:variant>
      <vt:variant>
        <vt:i4>5</vt:i4>
      </vt:variant>
      <vt:variant>
        <vt:lpwstr>http://www.qualityforum.org/docs/measure_evaluation_criteria.aspx</vt:lpwstr>
      </vt:variant>
      <vt:variant>
        <vt:lpwstr/>
      </vt:variant>
      <vt:variant>
        <vt:i4>1572982</vt:i4>
      </vt:variant>
      <vt:variant>
        <vt:i4>0</vt:i4>
      </vt:variant>
      <vt:variant>
        <vt:i4>0</vt:i4>
      </vt:variant>
      <vt:variant>
        <vt:i4>5</vt:i4>
      </vt:variant>
      <vt:variant>
        <vt:lpwstr>http://www.qualityforum.org/Measuring_Performance/Improving_NQF_Process/Evidence_Task_Force.aspx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Chavarria</cp:lastModifiedBy>
  <cp:revision>2</cp:revision>
  <cp:lastPrinted>2016-06-30T21:17:00Z</cp:lastPrinted>
  <dcterms:created xsi:type="dcterms:W3CDTF">2016-06-30T21:29:00Z</dcterms:created>
  <dcterms:modified xsi:type="dcterms:W3CDTF">2016-06-30T21:29:00Z</dcterms:modified>
</cp:coreProperties>
</file>